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A376E1" w:rsidP="00A376E1">
      <w:pPr>
        <w:jc w:val="center"/>
        <w:rPr>
          <w:b/>
        </w:rPr>
      </w:pPr>
      <w:r w:rsidRPr="002373AD"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</w:t>
      </w:r>
      <w:proofErr w:type="gramStart"/>
      <w:r w:rsidRPr="002373AD">
        <w:rPr>
          <w:sz w:val="14"/>
          <w:szCs w:val="14"/>
        </w:rPr>
        <w:t>.К</w:t>
      </w:r>
      <w:proofErr w:type="gramEnd"/>
      <w:r w:rsidRPr="002373AD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04332B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5A57C3" w:rsidP="00A402B7">
      <w:r>
        <w:t>02</w:t>
      </w:r>
      <w:r w:rsidR="00A402B7" w:rsidRPr="002373AD">
        <w:t>.</w:t>
      </w:r>
      <w:r>
        <w:t>11</w:t>
      </w:r>
      <w:r w:rsidR="005A0CF8" w:rsidRPr="002373AD">
        <w:t>.20</w:t>
      </w:r>
      <w:r w:rsidR="00A268AE" w:rsidRPr="002373AD">
        <w:t>2</w:t>
      </w:r>
      <w:r w:rsidR="005F1005">
        <w:t>1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ИКМ-</w:t>
      </w:r>
      <w:r>
        <w:t>11</w:t>
      </w:r>
    </w:p>
    <w:p w:rsidR="00A402B7" w:rsidRPr="002373AD" w:rsidRDefault="00A402B7" w:rsidP="00A402B7"/>
    <w:p w:rsidR="002D0210" w:rsidRPr="005F1005" w:rsidRDefault="005C74D1" w:rsidP="005C74D1">
      <w:pPr>
        <w:jc w:val="center"/>
      </w:pPr>
      <w:r w:rsidRPr="005F1005">
        <w:t>Информация</w:t>
      </w:r>
    </w:p>
    <w:p w:rsidR="005A57C3" w:rsidRPr="005A57C3" w:rsidRDefault="005C74D1" w:rsidP="005A57C3">
      <w:pPr>
        <w:tabs>
          <w:tab w:val="left" w:pos="4536"/>
          <w:tab w:val="left" w:pos="10206"/>
        </w:tabs>
        <w:jc w:val="both"/>
      </w:pPr>
      <w:r w:rsidRPr="000C4D3B">
        <w:t>о результатах проверки</w:t>
      </w:r>
      <w:r w:rsidRPr="000C4D3B">
        <w:rPr>
          <w:spacing w:val="-2"/>
        </w:rPr>
        <w:t xml:space="preserve"> </w:t>
      </w:r>
      <w:r w:rsidR="000C4D3B" w:rsidRPr="000C4D3B">
        <w:t xml:space="preserve">исполнения </w:t>
      </w:r>
      <w:r w:rsidR="005A57C3" w:rsidRPr="005A57C3">
        <w:t>сметы</w:t>
      </w:r>
      <w:r w:rsidR="005A57C3">
        <w:t xml:space="preserve"> </w:t>
      </w:r>
      <w:r w:rsidR="005A57C3" w:rsidRPr="005A57C3">
        <w:t>Муниципального казенного общеобразовательного  учреждения</w:t>
      </w:r>
      <w:r w:rsidR="005A57C3">
        <w:t xml:space="preserve"> </w:t>
      </w:r>
      <w:r w:rsidR="005A57C3" w:rsidRPr="005A57C3">
        <w:t>«Никольская основная общеобразовательная школа»</w:t>
      </w:r>
    </w:p>
    <w:p w:rsidR="0051663F" w:rsidRPr="002373AD" w:rsidRDefault="0051663F" w:rsidP="000C4D3B">
      <w:pPr>
        <w:tabs>
          <w:tab w:val="left" w:pos="4536"/>
          <w:tab w:val="left" w:pos="10206"/>
        </w:tabs>
        <w:jc w:val="both"/>
        <w:rPr>
          <w:bCs/>
        </w:rPr>
      </w:pPr>
    </w:p>
    <w:p w:rsidR="005D44FA" w:rsidRPr="005A57C3" w:rsidRDefault="005C74D1" w:rsidP="005A57C3">
      <w:pPr>
        <w:tabs>
          <w:tab w:val="left" w:pos="4536"/>
          <w:tab w:val="left" w:pos="10206"/>
        </w:tabs>
        <w:jc w:val="both"/>
      </w:pPr>
      <w:proofErr w:type="gramStart"/>
      <w:r w:rsidRPr="002373AD">
        <w:t xml:space="preserve">На основании </w:t>
      </w:r>
      <w:r w:rsidR="00DB5A48" w:rsidRPr="000838FF">
        <w:rPr>
          <w:spacing w:val="-1"/>
        </w:rPr>
        <w:t xml:space="preserve">пункта 3 статьи 269.2 Бюджетного кодекса Российской Федерации, </w:t>
      </w:r>
      <w:r w:rsidR="00DB5A48" w:rsidRPr="000838FF">
        <w:t>Постановления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Распоряжения Администрации Кривошеинского района от 30.12.2020 № 393-р «</w:t>
      </w:r>
      <w:r w:rsidR="00DB5A48" w:rsidRPr="000838FF">
        <w:rPr>
          <w:spacing w:val="-2"/>
        </w:rPr>
        <w:t>Об утверждении плана контрольных мероприятий внутреннего финансового контроля</w:t>
      </w:r>
      <w:r w:rsidR="00DB5A48" w:rsidRPr="000838FF">
        <w:t xml:space="preserve"> для муниципальных нужд Кривошеинского района на 2021 год», </w:t>
      </w:r>
      <w:r w:rsidR="005A57C3" w:rsidRPr="002D0A18">
        <w:t>Распоряжения Администрации</w:t>
      </w:r>
      <w:proofErr w:type="gramEnd"/>
      <w:r w:rsidR="005A57C3" w:rsidRPr="002D0A18">
        <w:t xml:space="preserve"> Кривошеинского района от 07.09.2021 № 309-р </w:t>
      </w:r>
      <w:r w:rsidR="005A57C3" w:rsidRPr="002D0A18">
        <w:rPr>
          <w:spacing w:val="-2"/>
        </w:rPr>
        <w:t xml:space="preserve">«О проведении плановой проверки </w:t>
      </w:r>
      <w:r w:rsidR="005A57C3" w:rsidRPr="002D0A18">
        <w:t>исполнения сметы Муниципального казенного общеобразовательного  учреждения «Никольская основная общеобразовательная школа»»</w:t>
      </w:r>
      <w:r w:rsidR="005A57C3">
        <w:t xml:space="preserve"> </w:t>
      </w:r>
      <w:r w:rsidR="00DB5A48">
        <w:t xml:space="preserve">проведено плановое контрольное мероприятие </w:t>
      </w:r>
      <w:r w:rsidR="005D44FA" w:rsidRPr="000C4D3B">
        <w:t xml:space="preserve">исполнения </w:t>
      </w:r>
      <w:r w:rsidR="005A57C3" w:rsidRPr="005A57C3">
        <w:t>сметы</w:t>
      </w:r>
      <w:r w:rsidR="005A57C3">
        <w:t xml:space="preserve"> </w:t>
      </w:r>
      <w:r w:rsidR="005A57C3" w:rsidRPr="005A57C3">
        <w:t>Муниципального казенного общеобразовательного  учреждения</w:t>
      </w:r>
      <w:r w:rsidR="005A57C3">
        <w:t xml:space="preserve"> </w:t>
      </w:r>
      <w:r w:rsidR="005A57C3" w:rsidRPr="005A57C3">
        <w:t>«Никольская основная общеобразовательная школа»</w:t>
      </w:r>
      <w:r w:rsidR="005D44FA">
        <w:t>.</w:t>
      </w:r>
    </w:p>
    <w:p w:rsidR="004D283E" w:rsidRPr="000A3FC8" w:rsidRDefault="004D283E" w:rsidP="005D44FA">
      <w:pPr>
        <w:tabs>
          <w:tab w:val="left" w:pos="4536"/>
          <w:tab w:val="left" w:pos="10206"/>
        </w:tabs>
        <w:ind w:firstLine="567"/>
        <w:jc w:val="both"/>
      </w:pPr>
      <w:r w:rsidRPr="000A3FC8">
        <w:t xml:space="preserve">Срок проведения контрольного мероприятия: </w:t>
      </w:r>
      <w:r w:rsidR="005D44FA">
        <w:t>3</w:t>
      </w:r>
      <w:r w:rsidR="005A57C3">
        <w:t>0</w:t>
      </w:r>
      <w:r w:rsidRPr="000A3FC8">
        <w:t xml:space="preserve"> рабочих дней.</w:t>
      </w:r>
    </w:p>
    <w:p w:rsidR="004D283E" w:rsidRPr="000A3FC8" w:rsidRDefault="004D283E" w:rsidP="004D283E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0A3FC8">
        <w:t>Дата начала провед</w:t>
      </w:r>
      <w:r w:rsidR="00D77DA1" w:rsidRPr="000A3FC8">
        <w:t xml:space="preserve">ения контрольного мероприятия: </w:t>
      </w:r>
      <w:r w:rsidR="005A57C3">
        <w:t>22</w:t>
      </w:r>
      <w:r w:rsidRPr="000A3FC8">
        <w:t>.0</w:t>
      </w:r>
      <w:r w:rsidR="005A57C3">
        <w:t>9</w:t>
      </w:r>
      <w:r w:rsidRPr="000A3FC8">
        <w:t>.202</w:t>
      </w:r>
      <w:r w:rsidR="00D77DA1" w:rsidRPr="000A3FC8">
        <w:t>1</w:t>
      </w:r>
      <w:r w:rsidRPr="000A3FC8">
        <w:t>г.</w:t>
      </w:r>
      <w:r w:rsidRPr="000A3FC8">
        <w:rPr>
          <w:i/>
        </w:rPr>
        <w:t xml:space="preserve"> </w:t>
      </w:r>
    </w:p>
    <w:p w:rsidR="004D283E" w:rsidRDefault="004D283E" w:rsidP="004D283E">
      <w:pPr>
        <w:tabs>
          <w:tab w:val="left" w:pos="4536"/>
          <w:tab w:val="left" w:pos="10206"/>
        </w:tabs>
        <w:ind w:firstLine="567"/>
        <w:jc w:val="both"/>
      </w:pPr>
      <w:r w:rsidRPr="000A3FC8">
        <w:t>Проверяемый период: 20</w:t>
      </w:r>
      <w:r w:rsidR="005D44FA">
        <w:t>19</w:t>
      </w:r>
      <w:r w:rsidRPr="000A3FC8">
        <w:t>г.</w:t>
      </w:r>
    </w:p>
    <w:p w:rsidR="005A57C3" w:rsidRDefault="004D283E" w:rsidP="005A57C3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A3FC8">
        <w:rPr>
          <w:rFonts w:ascii="Times New Roman" w:hAnsi="Times New Roman" w:cs="Times New Roman"/>
          <w:spacing w:val="-2"/>
          <w:sz w:val="24"/>
          <w:szCs w:val="24"/>
        </w:rPr>
        <w:t xml:space="preserve">Наименование объекта контроля: </w:t>
      </w:r>
      <w:r w:rsidR="005A57C3" w:rsidRPr="002D0A18">
        <w:rPr>
          <w:rFonts w:ascii="Times New Roman" w:hAnsi="Times New Roman"/>
          <w:sz w:val="24"/>
          <w:szCs w:val="24"/>
        </w:rPr>
        <w:t>Муниципального казенного общеобразовательного  учреждения «Никольская основная общеобразовательная школа»</w:t>
      </w:r>
      <w:r w:rsidR="005A57C3">
        <w:rPr>
          <w:rFonts w:ascii="Times New Roman" w:hAnsi="Times New Roman"/>
          <w:sz w:val="24"/>
          <w:szCs w:val="24"/>
        </w:rPr>
        <w:t>.</w:t>
      </w:r>
    </w:p>
    <w:p w:rsidR="005D44FA" w:rsidRPr="005A57C3" w:rsidRDefault="005D44FA" w:rsidP="005A57C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5A57C3">
        <w:rPr>
          <w:rFonts w:ascii="Times New Roman" w:hAnsi="Times New Roman" w:cs="Times New Roman"/>
          <w:color w:val="000000"/>
          <w:sz w:val="24"/>
          <w:szCs w:val="24"/>
        </w:rPr>
        <w:t>Информация о результатах контрольного мероприятия:</w:t>
      </w:r>
    </w:p>
    <w:p w:rsidR="005A57C3" w:rsidRPr="009C4E81" w:rsidRDefault="005A57C3" w:rsidP="005A57C3">
      <w:pPr>
        <w:tabs>
          <w:tab w:val="left" w:pos="-284"/>
          <w:tab w:val="left" w:pos="-142"/>
        </w:tabs>
        <w:ind w:firstLine="567"/>
        <w:jc w:val="both"/>
        <w:rPr>
          <w:color w:val="000000"/>
        </w:rPr>
      </w:pPr>
      <w:r w:rsidRPr="009C4E81">
        <w:rPr>
          <w:color w:val="000000"/>
        </w:rPr>
        <w:t>Нарушаются основные принципы ведения бухгалтерского учета:</w:t>
      </w:r>
    </w:p>
    <w:p w:rsidR="005A57C3" w:rsidRPr="009C4E81" w:rsidRDefault="005A57C3" w:rsidP="005A57C3">
      <w:pPr>
        <w:pStyle w:val="a9"/>
        <w:tabs>
          <w:tab w:val="left" w:pos="-284"/>
          <w:tab w:val="left" w:pos="-142"/>
        </w:tabs>
        <w:ind w:left="0"/>
        <w:jc w:val="both"/>
        <w:rPr>
          <w:color w:val="000000"/>
        </w:rPr>
      </w:pPr>
      <w:r w:rsidRPr="009C4E81">
        <w:t>1)Указание Центрального банка Российской Федерации от 11 марта 2014года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предпринимательства»:</w:t>
      </w:r>
    </w:p>
    <w:p w:rsidR="005A57C3" w:rsidRPr="009C4E81" w:rsidRDefault="005A57C3" w:rsidP="005A57C3">
      <w:pPr>
        <w:tabs>
          <w:tab w:val="left" w:pos="4536"/>
          <w:tab w:val="left" w:pos="10206"/>
        </w:tabs>
        <w:ind w:firstLine="567"/>
        <w:jc w:val="both"/>
      </w:pPr>
      <w:r w:rsidRPr="009C4E81">
        <w:t>-статья 6 в части отсутствия документа;</w:t>
      </w:r>
    </w:p>
    <w:p w:rsidR="005A57C3" w:rsidRPr="009C4E81" w:rsidRDefault="005A57C3" w:rsidP="005A57C3">
      <w:pPr>
        <w:pStyle w:val="a9"/>
        <w:tabs>
          <w:tab w:val="left" w:pos="10206"/>
        </w:tabs>
        <w:ind w:left="0"/>
        <w:jc w:val="both"/>
      </w:pPr>
      <w:r w:rsidRPr="009C4E81">
        <w:t>2)Федеральный закон от 06 декабря 2011года № 402-ФЗ «О бухгалтерском учете»:</w:t>
      </w:r>
    </w:p>
    <w:p w:rsidR="005A57C3" w:rsidRPr="009C4E81" w:rsidRDefault="005A57C3" w:rsidP="005A57C3">
      <w:pPr>
        <w:tabs>
          <w:tab w:val="left" w:pos="-284"/>
          <w:tab w:val="left" w:pos="-142"/>
        </w:tabs>
        <w:ind w:firstLine="567"/>
        <w:jc w:val="both"/>
      </w:pPr>
      <w:r w:rsidRPr="009C4E81">
        <w:t>-статья 9 в части заполнения первичных учетных документов;</w:t>
      </w:r>
    </w:p>
    <w:p w:rsidR="005A57C3" w:rsidRPr="009C4E81" w:rsidRDefault="005A57C3" w:rsidP="005A57C3">
      <w:pPr>
        <w:tabs>
          <w:tab w:val="left" w:pos="-284"/>
          <w:tab w:val="left" w:pos="-142"/>
        </w:tabs>
        <w:ind w:firstLine="567"/>
        <w:jc w:val="both"/>
      </w:pPr>
      <w:r w:rsidRPr="009C4E81">
        <w:t>-статья 19 в части отсутствия внутреннего контроля;</w:t>
      </w:r>
    </w:p>
    <w:p w:rsidR="005A57C3" w:rsidRPr="009C4E81" w:rsidRDefault="005A57C3" w:rsidP="005A57C3">
      <w:pPr>
        <w:tabs>
          <w:tab w:val="left" w:pos="-284"/>
          <w:tab w:val="left" w:pos="-142"/>
        </w:tabs>
        <w:jc w:val="both"/>
      </w:pPr>
      <w:r w:rsidRPr="009C4E81">
        <w:t>3)Приказ Министерства финансов Российской Федерации от 30 марта 2015года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(муниципальными) учреждениями» и Методических указаний по их применению»:</w:t>
      </w:r>
    </w:p>
    <w:p w:rsidR="005A57C3" w:rsidRPr="009C4E81" w:rsidRDefault="005A57C3" w:rsidP="005A57C3">
      <w:pPr>
        <w:tabs>
          <w:tab w:val="left" w:pos="-284"/>
          <w:tab w:val="left" w:pos="-142"/>
        </w:tabs>
        <w:ind w:firstLine="567"/>
        <w:jc w:val="both"/>
      </w:pPr>
      <w:r w:rsidRPr="009C4E81">
        <w:t>- в части несоответствия по оформлению авансовых отчетов;</w:t>
      </w:r>
    </w:p>
    <w:p w:rsidR="005A57C3" w:rsidRPr="009C4E81" w:rsidRDefault="005A57C3" w:rsidP="005A57C3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9C4E81">
        <w:rPr>
          <w:bCs/>
        </w:rPr>
        <w:lastRenderedPageBreak/>
        <w:t>-статья 1 приложение 5 в части  предоставления документов  на бумажном носителе;</w:t>
      </w:r>
    </w:p>
    <w:p w:rsidR="005A57C3" w:rsidRPr="009C4E81" w:rsidRDefault="005A57C3" w:rsidP="005A57C3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9C4E81">
        <w:rPr>
          <w:bCs/>
        </w:rPr>
        <w:t>-Приложение 5 в части оформления журналов операций, в части подписания журналов операций, в части заполнения карточек учета нефинансовых активов по недвижимому имуществу;</w:t>
      </w:r>
    </w:p>
    <w:p w:rsidR="005A57C3" w:rsidRPr="009C4E81" w:rsidRDefault="005A57C3" w:rsidP="005A57C3">
      <w:pPr>
        <w:tabs>
          <w:tab w:val="left" w:pos="4536"/>
          <w:tab w:val="left" w:pos="10206"/>
        </w:tabs>
        <w:jc w:val="both"/>
        <w:rPr>
          <w:bCs/>
        </w:rPr>
      </w:pPr>
      <w:r w:rsidRPr="009C4E81">
        <w:t xml:space="preserve">4)Приказ Министерства финансов Российской Федерации от 01 декабря 2010года №157н «Об утверждении Единого плана счетов бухгалтерского учета для органов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государственных (муниципальных) учреждений и Инструкции по его применению»: </w:t>
      </w:r>
      <w:r w:rsidRPr="009C4E81">
        <w:rPr>
          <w:bCs/>
        </w:rPr>
        <w:t xml:space="preserve"> </w:t>
      </w:r>
    </w:p>
    <w:p w:rsidR="005A57C3" w:rsidRPr="009C4E81" w:rsidRDefault="005A57C3" w:rsidP="005A57C3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9C4E81">
        <w:rPr>
          <w:bCs/>
        </w:rPr>
        <w:t>-пункт 11 Приложения 2 в части  предоставления документов  на бумажном носителе;</w:t>
      </w:r>
    </w:p>
    <w:p w:rsidR="005A57C3" w:rsidRPr="009C4E81" w:rsidRDefault="005A57C3" w:rsidP="005A57C3">
      <w:pPr>
        <w:tabs>
          <w:tab w:val="left" w:pos="4536"/>
          <w:tab w:val="left" w:pos="10206"/>
        </w:tabs>
        <w:jc w:val="both"/>
        <w:rPr>
          <w:bCs/>
        </w:rPr>
      </w:pPr>
      <w:r w:rsidRPr="009C4E81">
        <w:t>5)Приказ Министерства финансов Российской Федерации от 13 июня 1995года № 49 «Об утверждении Методических указаний по инвентаризации имущества и финансовых обязательств»:</w:t>
      </w:r>
    </w:p>
    <w:p w:rsidR="005A57C3" w:rsidRPr="009C4E81" w:rsidRDefault="005A57C3" w:rsidP="005A57C3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9C4E81">
        <w:rPr>
          <w:bCs/>
        </w:rPr>
        <w:t>-пункт 1.3, 1.5 в части проведения инвентаризации имущества и финансовых обязательств перед составлением годовой отчетности;</w:t>
      </w:r>
    </w:p>
    <w:p w:rsidR="005A57C3" w:rsidRPr="009C4E81" w:rsidRDefault="005A57C3" w:rsidP="005A57C3">
      <w:pPr>
        <w:jc w:val="both"/>
      </w:pPr>
      <w:r w:rsidRPr="009C4E81">
        <w:t>6)Приказ Минфина России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сектора»»:</w:t>
      </w:r>
    </w:p>
    <w:p w:rsidR="005A57C3" w:rsidRPr="009C4E81" w:rsidRDefault="005A57C3" w:rsidP="005A57C3">
      <w:pPr>
        <w:ind w:firstLine="567"/>
        <w:jc w:val="both"/>
        <w:rPr>
          <w:color w:val="000000" w:themeColor="text1"/>
        </w:rPr>
      </w:pPr>
      <w:r w:rsidRPr="009C4E81">
        <w:t>-</w:t>
      </w:r>
      <w:r w:rsidRPr="009C4E81">
        <w:rPr>
          <w:color w:val="000000" w:themeColor="text1"/>
        </w:rPr>
        <w:t xml:space="preserve"> пункт 19 в части отсутствия приложения к учетной политике</w:t>
      </w:r>
    </w:p>
    <w:p w:rsidR="005A57C3" w:rsidRPr="009C4E81" w:rsidRDefault="005A57C3" w:rsidP="005A57C3">
      <w:pPr>
        <w:jc w:val="both"/>
      </w:pPr>
      <w:r w:rsidRPr="009C4E81">
        <w:t>7) Бюджетный кодекс Российской Федерации от 31 июля 1998года № 145-ФЗ:</w:t>
      </w:r>
    </w:p>
    <w:p w:rsidR="005A57C3" w:rsidRDefault="005A57C3" w:rsidP="005A57C3">
      <w:pPr>
        <w:jc w:val="both"/>
      </w:pPr>
      <w:r w:rsidRPr="009C4E81">
        <w:tab/>
        <w:t>-статья 34 в части не эффективное использование бюджетных средств.</w:t>
      </w:r>
    </w:p>
    <w:p w:rsidR="005A57C3" w:rsidRDefault="005A57C3" w:rsidP="005A57C3">
      <w:pPr>
        <w:jc w:val="both"/>
      </w:pPr>
      <w:r>
        <w:tab/>
        <w:t>В ходе проверки установлено:</w:t>
      </w:r>
      <w:r w:rsidR="00416EBD">
        <w:t xml:space="preserve"> </w:t>
      </w:r>
      <w:r>
        <w:t xml:space="preserve">излишки </w:t>
      </w:r>
      <w:r w:rsidR="00416EBD">
        <w:t xml:space="preserve">и </w:t>
      </w:r>
      <w:r>
        <w:t>недостача.</w:t>
      </w:r>
    </w:p>
    <w:p w:rsidR="000A3FC8" w:rsidRPr="000A3FC8" w:rsidRDefault="000A3FC8" w:rsidP="000A3FC8">
      <w:pPr>
        <w:pStyle w:val="ConsPlusNormal"/>
        <w:ind w:firstLine="567"/>
        <w:jc w:val="both"/>
        <w:outlineLvl w:val="0"/>
        <w:rPr>
          <w:rStyle w:val="ad"/>
          <w:rFonts w:ascii="Times New Roman" w:hAnsi="Times New Roman" w:cs="Times New Roman"/>
          <w:i w:val="0"/>
          <w:sz w:val="24"/>
          <w:szCs w:val="24"/>
        </w:rPr>
      </w:pPr>
    </w:p>
    <w:sectPr w:rsidR="000A3FC8" w:rsidRPr="000A3FC8" w:rsidSect="004D283E"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332B"/>
    <w:rsid w:val="00047098"/>
    <w:rsid w:val="0006076E"/>
    <w:rsid w:val="00076821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6AE8"/>
    <w:rsid w:val="00125A1B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5C92"/>
    <w:rsid w:val="002613A0"/>
    <w:rsid w:val="002A0B73"/>
    <w:rsid w:val="002A5B97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D285A"/>
    <w:rsid w:val="003E73C9"/>
    <w:rsid w:val="003F74E3"/>
    <w:rsid w:val="00400C33"/>
    <w:rsid w:val="0041061A"/>
    <w:rsid w:val="00416EBD"/>
    <w:rsid w:val="00417C15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6EFE"/>
    <w:rsid w:val="005877AE"/>
    <w:rsid w:val="0059115A"/>
    <w:rsid w:val="00592A70"/>
    <w:rsid w:val="005A0CF8"/>
    <w:rsid w:val="005A57C3"/>
    <w:rsid w:val="005A78D6"/>
    <w:rsid w:val="005A7995"/>
    <w:rsid w:val="005C0799"/>
    <w:rsid w:val="005C5C0D"/>
    <w:rsid w:val="005C74D1"/>
    <w:rsid w:val="005D44FA"/>
    <w:rsid w:val="005F1005"/>
    <w:rsid w:val="005F1EA4"/>
    <w:rsid w:val="006042BE"/>
    <w:rsid w:val="00606792"/>
    <w:rsid w:val="00612885"/>
    <w:rsid w:val="00624BB9"/>
    <w:rsid w:val="00637DF0"/>
    <w:rsid w:val="00644B6A"/>
    <w:rsid w:val="00645898"/>
    <w:rsid w:val="006470BC"/>
    <w:rsid w:val="00660D28"/>
    <w:rsid w:val="0066243E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5198"/>
    <w:rsid w:val="00717AFC"/>
    <w:rsid w:val="00730051"/>
    <w:rsid w:val="00736B69"/>
    <w:rsid w:val="00752066"/>
    <w:rsid w:val="00763BA9"/>
    <w:rsid w:val="0077403F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7DB3"/>
    <w:rsid w:val="00950F33"/>
    <w:rsid w:val="00970714"/>
    <w:rsid w:val="00987E53"/>
    <w:rsid w:val="009A11E0"/>
    <w:rsid w:val="009E5C5B"/>
    <w:rsid w:val="00A17A90"/>
    <w:rsid w:val="00A20551"/>
    <w:rsid w:val="00A268AE"/>
    <w:rsid w:val="00A3468F"/>
    <w:rsid w:val="00A34F99"/>
    <w:rsid w:val="00A36D41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AF7986"/>
    <w:rsid w:val="00B03D66"/>
    <w:rsid w:val="00B0512E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D5953"/>
    <w:rsid w:val="00BD7E80"/>
    <w:rsid w:val="00C04D49"/>
    <w:rsid w:val="00C13F76"/>
    <w:rsid w:val="00C15298"/>
    <w:rsid w:val="00C23679"/>
    <w:rsid w:val="00C52386"/>
    <w:rsid w:val="00C608BF"/>
    <w:rsid w:val="00C614CC"/>
    <w:rsid w:val="00C8200F"/>
    <w:rsid w:val="00C847FD"/>
    <w:rsid w:val="00CA543D"/>
    <w:rsid w:val="00CB13EF"/>
    <w:rsid w:val="00CB3DB5"/>
    <w:rsid w:val="00CB51B4"/>
    <w:rsid w:val="00CC19CF"/>
    <w:rsid w:val="00CC6DAF"/>
    <w:rsid w:val="00CD4354"/>
    <w:rsid w:val="00CF3834"/>
    <w:rsid w:val="00D40534"/>
    <w:rsid w:val="00D464F6"/>
    <w:rsid w:val="00D46FE4"/>
    <w:rsid w:val="00D65E80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25933"/>
    <w:rsid w:val="00E2667F"/>
    <w:rsid w:val="00E30A77"/>
    <w:rsid w:val="00E31D9D"/>
    <w:rsid w:val="00E510EE"/>
    <w:rsid w:val="00E54651"/>
    <w:rsid w:val="00E63EAE"/>
    <w:rsid w:val="00E77197"/>
    <w:rsid w:val="00E83E0C"/>
    <w:rsid w:val="00E85B52"/>
    <w:rsid w:val="00E86796"/>
    <w:rsid w:val="00E91031"/>
    <w:rsid w:val="00E9183C"/>
    <w:rsid w:val="00EA2B7F"/>
    <w:rsid w:val="00EC108A"/>
    <w:rsid w:val="00EC1140"/>
    <w:rsid w:val="00EC3AE3"/>
    <w:rsid w:val="00EE2791"/>
    <w:rsid w:val="00EF358A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B0E32"/>
    <w:rsid w:val="00FC4F8F"/>
    <w:rsid w:val="00FD3EB7"/>
    <w:rsid w:val="00FF0F8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qFormat/>
    <w:rsid w:val="00D405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MSUKONTROL</cp:lastModifiedBy>
  <cp:revision>24</cp:revision>
  <cp:lastPrinted>2019-08-01T07:48:00Z</cp:lastPrinted>
  <dcterms:created xsi:type="dcterms:W3CDTF">2020-06-18T08:18:00Z</dcterms:created>
  <dcterms:modified xsi:type="dcterms:W3CDTF">2021-11-23T07:49:00Z</dcterms:modified>
</cp:coreProperties>
</file>