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12" w:rsidRDefault="006D4C69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C20890">
        <w:rPr>
          <w:rFonts w:ascii="Times New Roman" w:hAnsi="Times New Roman" w:cs="Times New Roman"/>
          <w:b w:val="0"/>
          <w:bCs w:val="0"/>
          <w:sz w:val="24"/>
          <w:szCs w:val="24"/>
        </w:rPr>
        <w:t>13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CB67A8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6E125C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75200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07110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6E12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20890">
        <w:rPr>
          <w:rFonts w:ascii="Times New Roman" w:hAnsi="Times New Roman" w:cs="Times New Roman"/>
          <w:b w:val="0"/>
          <w:bCs w:val="0"/>
          <w:sz w:val="24"/>
          <w:szCs w:val="24"/>
        </w:rPr>
        <w:t>128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57C" w:rsidRDefault="00B144B0" w:rsidP="004D3582">
      <w:pPr>
        <w:pStyle w:val="ConsPlusTitle"/>
        <w:widowControl/>
        <w:spacing w:line="240" w:lineRule="atLeast"/>
        <w:ind w:right="-65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Кривошеинского района от 22.02.2011 № 84 «О реализации Постановления Администрации Томской области от 28.01.2011 № 19а</w:t>
      </w:r>
      <w:r w:rsidR="006E125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125C" w:rsidRDefault="006E125C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4D3582">
        <w:rPr>
          <w:rFonts w:ascii="Times New Roman" w:hAnsi="Times New Roman" w:cs="Times New Roman"/>
          <w:b w:val="0"/>
          <w:sz w:val="24"/>
          <w:szCs w:val="24"/>
        </w:rPr>
        <w:t xml:space="preserve">соответствии </w:t>
      </w:r>
      <w:r w:rsidR="00B144B0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Томской области от 30.03.2016 № 89а «О внесении изменений в постановление Администрации Томской области от 28.01.2011 № 19а»</w:t>
      </w:r>
      <w:r w:rsidR="004D3582">
        <w:rPr>
          <w:rFonts w:ascii="Times New Roman" w:hAnsi="Times New Roman" w:cs="Times New Roman"/>
          <w:b w:val="0"/>
          <w:sz w:val="24"/>
          <w:szCs w:val="24"/>
        </w:rPr>
        <w:t>, Уставом муниципального образования 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4472C2" w:rsidRDefault="004472C2" w:rsidP="00A7744A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72C2" w:rsidRDefault="004472C2" w:rsidP="004472C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144B0" w:rsidRDefault="00B144B0" w:rsidP="0051134D">
      <w:pPr>
        <w:pStyle w:val="ConsPlusTitle"/>
        <w:widowControl/>
        <w:numPr>
          <w:ilvl w:val="0"/>
          <w:numId w:val="4"/>
        </w:numPr>
        <w:tabs>
          <w:tab w:val="left" w:pos="1134"/>
        </w:tabs>
        <w:spacing w:line="240" w:lineRule="atLeast"/>
        <w:ind w:left="0"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Pr="00B144B0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Кривошеинского района от 22.02.2011 № 84 «О реализации Постановления Администрации Томской области от 28.01.2011 № 19а»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постановление) следующие изменения:</w:t>
      </w:r>
    </w:p>
    <w:p w:rsidR="001C54FA" w:rsidRDefault="001C54FA" w:rsidP="001C54FA">
      <w:pPr>
        <w:pStyle w:val="ConsPlusTitle"/>
        <w:widowControl/>
        <w:numPr>
          <w:ilvl w:val="1"/>
          <w:numId w:val="4"/>
        </w:numPr>
        <w:tabs>
          <w:tab w:val="left" w:pos="1134"/>
        </w:tabs>
        <w:spacing w:line="240" w:lineRule="atLeast"/>
        <w:ind w:right="-6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преамбуле постановления слово «учреждениях» заменить словом «организациях»;</w:t>
      </w:r>
    </w:p>
    <w:p w:rsidR="005577A1" w:rsidRDefault="005577A1" w:rsidP="00C20890">
      <w:pPr>
        <w:pStyle w:val="ConsPlusTitle"/>
        <w:widowControl/>
        <w:numPr>
          <w:ilvl w:val="1"/>
          <w:numId w:val="4"/>
        </w:numPr>
        <w:tabs>
          <w:tab w:val="left" w:pos="0"/>
          <w:tab w:val="left" w:pos="1134"/>
        </w:tabs>
        <w:spacing w:line="240" w:lineRule="atLeast"/>
        <w:ind w:left="0"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подпункте 1 пункта 2 постановления слово «образовательных» заменить словом «общеобразовательных», далее по тексту;</w:t>
      </w:r>
    </w:p>
    <w:p w:rsidR="005577A1" w:rsidRDefault="005577A1" w:rsidP="00B144B0">
      <w:pPr>
        <w:pStyle w:val="ConsPlusTitle"/>
        <w:widowControl/>
        <w:numPr>
          <w:ilvl w:val="1"/>
          <w:numId w:val="4"/>
        </w:numPr>
        <w:tabs>
          <w:tab w:val="left" w:pos="1134"/>
        </w:tabs>
        <w:spacing w:line="240" w:lineRule="atLeast"/>
        <w:ind w:right="-6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подпункт 2 пункта 2 постановления</w:t>
      </w:r>
      <w:r w:rsidR="0070478C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577A1" w:rsidRDefault="0070478C" w:rsidP="00C20890">
      <w:pPr>
        <w:pStyle w:val="ConsPlusTitle"/>
        <w:widowControl/>
        <w:tabs>
          <w:tab w:val="left" w:pos="0"/>
          <w:tab w:val="left" w:pos="709"/>
        </w:tabs>
        <w:spacing w:line="240" w:lineRule="atLeast"/>
        <w:ind w:right="-6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«2) предоставлять отчеты об использовании межбюджетных трансфертов на стимулирующие выплаты за высокие результаты и качество выполняемых работ в муниципальных общеобразовательных учреждениях по форме и в сроки, установленные Департаментом общего образования Томской области.»;</w:t>
      </w:r>
    </w:p>
    <w:p w:rsidR="00F2789D" w:rsidRDefault="00F2789D" w:rsidP="00B144B0">
      <w:pPr>
        <w:pStyle w:val="ConsPlusTitle"/>
        <w:widowControl/>
        <w:numPr>
          <w:ilvl w:val="1"/>
          <w:numId w:val="4"/>
        </w:numPr>
        <w:tabs>
          <w:tab w:val="left" w:pos="1134"/>
        </w:tabs>
        <w:spacing w:line="240" w:lineRule="atLeast"/>
        <w:ind w:right="-6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пункты 3,4 постановления изложить в новой редакции:</w:t>
      </w:r>
    </w:p>
    <w:p w:rsidR="00F2789D" w:rsidRDefault="00C20890" w:rsidP="00C20890">
      <w:pPr>
        <w:pStyle w:val="ConsPlusTitle"/>
        <w:widowControl/>
        <w:tabs>
          <w:tab w:val="left" w:pos="709"/>
          <w:tab w:val="left" w:pos="1134"/>
        </w:tabs>
        <w:spacing w:line="240" w:lineRule="atLeast"/>
        <w:ind w:right="-6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«3. </w:t>
      </w:r>
      <w:r w:rsidR="00F2789D" w:rsidRPr="0051134D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опубликовать в Сборнике нормативных актов Администрации Кривошеинского района и разместить в сети «Интернет» на официальном сайте муниципального образования Кривошеинский район</w:t>
      </w:r>
      <w:r w:rsidR="00F2789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1134D" w:rsidRDefault="00F2789D" w:rsidP="00F2789D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.»</w:t>
      </w:r>
      <w:r w:rsidR="00166A7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A571A" w:rsidRDefault="004A571A" w:rsidP="00C20890">
      <w:pPr>
        <w:pStyle w:val="ConsPlusTitle"/>
        <w:widowControl/>
        <w:tabs>
          <w:tab w:val="left" w:pos="1134"/>
          <w:tab w:val="left" w:pos="1418"/>
        </w:tabs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1C54FA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. в приложени</w:t>
      </w:r>
      <w:r w:rsidR="005E4561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«Порядок распределения иных межбюджетных трансфертов на </w:t>
      </w:r>
      <w:r w:rsidRPr="004A571A">
        <w:rPr>
          <w:rFonts w:ascii="Times New Roman" w:hAnsi="Times New Roman" w:cs="Times New Roman"/>
          <w:b w:val="0"/>
          <w:sz w:val="24"/>
          <w:szCs w:val="24"/>
        </w:rPr>
        <w:t>стимулирующие выплаты за высокие результаты и качество выполняемых работ в муниципальных общеобразовательных учреждениях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Кривошеинского района» к постановлению:</w:t>
      </w:r>
    </w:p>
    <w:p w:rsidR="004A571A" w:rsidRDefault="004A571A" w:rsidP="00F2789D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1C54FA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.1. пункт 1 приложения изложить в новой редакции:</w:t>
      </w:r>
    </w:p>
    <w:p w:rsidR="00B93649" w:rsidRPr="000E34F4" w:rsidRDefault="004A571A" w:rsidP="00F2789D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A21EC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</w:rPr>
        <w:t>Настоящий порядок разработан в соответствии с постановление</w:t>
      </w:r>
      <w:r w:rsidR="005E4561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Томской области от 28.01.2011 № 19а «О порядке предоставления иных межбюджетных трансфертов на </w:t>
      </w:r>
      <w:r w:rsidRPr="004A571A">
        <w:rPr>
          <w:rFonts w:ascii="Times New Roman" w:hAnsi="Times New Roman" w:cs="Times New Roman"/>
          <w:b w:val="0"/>
          <w:sz w:val="24"/>
          <w:szCs w:val="24"/>
        </w:rPr>
        <w:t xml:space="preserve">стимулирующие выплаты за высокие результаты и качество выполняемых работ в муниципальных общеобразовательных </w:t>
      </w:r>
      <w:r w:rsidR="00A35EE8">
        <w:rPr>
          <w:rFonts w:ascii="Times New Roman" w:hAnsi="Times New Roman" w:cs="Times New Roman"/>
          <w:b w:val="0"/>
          <w:sz w:val="24"/>
          <w:szCs w:val="24"/>
        </w:rPr>
        <w:t xml:space="preserve">организациях» в целях </w:t>
      </w:r>
      <w:r w:rsidR="001C54FA">
        <w:rPr>
          <w:rFonts w:ascii="Times New Roman" w:hAnsi="Times New Roman" w:cs="Times New Roman"/>
          <w:b w:val="0"/>
          <w:sz w:val="24"/>
          <w:szCs w:val="24"/>
        </w:rPr>
        <w:t>определения объема субсидии на иные цели для муниципальных бюджетных общеобразовательных учреждений, бюджетных ассигнований для муниципальных казенных общеобразовательных учреждений</w:t>
      </w:r>
      <w:r w:rsidR="00B93649">
        <w:rPr>
          <w:rFonts w:ascii="Times New Roman" w:hAnsi="Times New Roman" w:cs="Times New Roman"/>
          <w:b w:val="0"/>
          <w:sz w:val="24"/>
          <w:szCs w:val="24"/>
        </w:rPr>
        <w:t xml:space="preserve"> за счет средств иных межбюджетных трансфертов на </w:t>
      </w:r>
      <w:r w:rsidR="00B93649" w:rsidRPr="00B93649">
        <w:rPr>
          <w:rFonts w:ascii="Times New Roman" w:hAnsi="Times New Roman" w:cs="Times New Roman"/>
          <w:b w:val="0"/>
          <w:sz w:val="24"/>
          <w:szCs w:val="24"/>
        </w:rPr>
        <w:t>стимулирующие выплаты за высокие результаты и качество выполняемых работ в муниципальных общеобразовательных учреждениях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B936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3649" w:rsidRPr="000E34F4">
        <w:rPr>
          <w:rFonts w:ascii="Times New Roman" w:hAnsi="Times New Roman" w:cs="Times New Roman"/>
          <w:b w:val="0"/>
          <w:sz w:val="24"/>
          <w:szCs w:val="24"/>
        </w:rPr>
        <w:t xml:space="preserve">(далее – </w:t>
      </w:r>
      <w:r w:rsidR="000E34F4" w:rsidRPr="000E34F4">
        <w:rPr>
          <w:rFonts w:ascii="Times New Roman" w:hAnsi="Times New Roman" w:cs="Times New Roman"/>
          <w:b w:val="0"/>
          <w:sz w:val="24"/>
          <w:szCs w:val="24"/>
        </w:rPr>
        <w:t>объем средств</w:t>
      </w:r>
      <w:r w:rsidR="00B93649" w:rsidRPr="000E34F4">
        <w:rPr>
          <w:rFonts w:ascii="Times New Roman" w:hAnsi="Times New Roman" w:cs="Times New Roman"/>
          <w:b w:val="0"/>
          <w:sz w:val="24"/>
          <w:szCs w:val="24"/>
        </w:rPr>
        <w:t>).»</w:t>
      </w:r>
      <w:r w:rsidRPr="000E34F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A571A" w:rsidRDefault="00C20890" w:rsidP="00C20890">
      <w:pPr>
        <w:pStyle w:val="ConsPlusTitle"/>
        <w:widowControl/>
        <w:tabs>
          <w:tab w:val="left" w:pos="1276"/>
        </w:tabs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1.5.2. </w:t>
      </w:r>
      <w:r w:rsidR="00D55A90">
        <w:rPr>
          <w:rFonts w:ascii="Times New Roman" w:hAnsi="Times New Roman" w:cs="Times New Roman"/>
          <w:b w:val="0"/>
          <w:sz w:val="24"/>
          <w:szCs w:val="24"/>
        </w:rPr>
        <w:t xml:space="preserve">в абзаце первом и втором </w:t>
      </w:r>
      <w:r w:rsidR="00B93649">
        <w:rPr>
          <w:rFonts w:ascii="Times New Roman" w:hAnsi="Times New Roman" w:cs="Times New Roman"/>
          <w:b w:val="0"/>
          <w:sz w:val="24"/>
          <w:szCs w:val="24"/>
        </w:rPr>
        <w:t>пункт</w:t>
      </w:r>
      <w:r w:rsidR="00D55A90">
        <w:rPr>
          <w:rFonts w:ascii="Times New Roman" w:hAnsi="Times New Roman" w:cs="Times New Roman"/>
          <w:b w:val="0"/>
          <w:sz w:val="24"/>
          <w:szCs w:val="24"/>
        </w:rPr>
        <w:t>а</w:t>
      </w:r>
      <w:r w:rsidR="00B93649">
        <w:rPr>
          <w:rFonts w:ascii="Times New Roman" w:hAnsi="Times New Roman" w:cs="Times New Roman"/>
          <w:b w:val="0"/>
          <w:sz w:val="24"/>
          <w:szCs w:val="24"/>
        </w:rPr>
        <w:t xml:space="preserve"> 2 приложения слова «межбюджетных трансфертов» исключить;</w:t>
      </w:r>
    </w:p>
    <w:p w:rsidR="00B93649" w:rsidRDefault="00B93649" w:rsidP="00F2789D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1.5.3. </w:t>
      </w:r>
      <w:r w:rsidR="000D024B">
        <w:rPr>
          <w:rFonts w:ascii="Times New Roman" w:hAnsi="Times New Roman" w:cs="Times New Roman"/>
          <w:b w:val="0"/>
          <w:sz w:val="24"/>
          <w:szCs w:val="24"/>
        </w:rPr>
        <w:t>в абзаце первом пункте 3 приложения слова «размер межбюджетного трансферта, выделяемого» заменить словами «объем средств, выделяемый»;</w:t>
      </w:r>
    </w:p>
    <w:p w:rsidR="000D024B" w:rsidRDefault="000D024B" w:rsidP="00F2789D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1.5.4. в абзаце третьем, четвертом пункта 3 приложения слова «иных межбюджетных трансфертов» заменить словом «средств»;</w:t>
      </w:r>
    </w:p>
    <w:p w:rsidR="000D024B" w:rsidRDefault="000D024B" w:rsidP="00F2789D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1.5.5. в абзаце седьмом, восьмом пункта 3 приложения слова «уровне органа местного самоуправления» заменить словами «местном уровне»</w:t>
      </w:r>
      <w:r w:rsidR="00166A7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66A72" w:rsidRDefault="00166A72" w:rsidP="00F2789D">
      <w:pPr>
        <w:pStyle w:val="ConsPlusTitle"/>
        <w:widowControl/>
        <w:spacing w:line="240" w:lineRule="atLeast"/>
        <w:ind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1.6. приложение к </w:t>
      </w:r>
      <w:r w:rsidR="000E34F4">
        <w:rPr>
          <w:rFonts w:ascii="Times New Roman" w:hAnsi="Times New Roman" w:cs="Times New Roman"/>
          <w:b w:val="0"/>
          <w:sz w:val="24"/>
          <w:szCs w:val="24"/>
        </w:rPr>
        <w:t xml:space="preserve">Порядку распределения иных межбюджетных трансфертов на </w:t>
      </w:r>
      <w:r w:rsidR="000E34F4" w:rsidRPr="004A571A">
        <w:rPr>
          <w:rFonts w:ascii="Times New Roman" w:hAnsi="Times New Roman" w:cs="Times New Roman"/>
          <w:b w:val="0"/>
          <w:sz w:val="24"/>
          <w:szCs w:val="24"/>
        </w:rPr>
        <w:t>стимулирующие выплаты за высокие результаты и качество выполняемых работ в муниципальных общеобразовательных учреждениях</w:t>
      </w:r>
      <w:r w:rsidR="000E34F4">
        <w:rPr>
          <w:rFonts w:ascii="Times New Roman" w:hAnsi="Times New Roman" w:cs="Times New Roman"/>
          <w:b w:val="0"/>
          <w:sz w:val="24"/>
          <w:szCs w:val="24"/>
        </w:rPr>
        <w:t xml:space="preserve"> Кривошеинского района изложить в новой редакции согласно приложению к настояще</w:t>
      </w:r>
      <w:r w:rsidR="00B169E2">
        <w:rPr>
          <w:rFonts w:ascii="Times New Roman" w:hAnsi="Times New Roman" w:cs="Times New Roman"/>
          <w:b w:val="0"/>
          <w:sz w:val="24"/>
          <w:szCs w:val="24"/>
        </w:rPr>
        <w:t>му</w:t>
      </w:r>
      <w:r w:rsidR="000E34F4">
        <w:rPr>
          <w:rFonts w:ascii="Times New Roman" w:hAnsi="Times New Roman" w:cs="Times New Roman"/>
          <w:b w:val="0"/>
          <w:sz w:val="24"/>
          <w:szCs w:val="24"/>
        </w:rPr>
        <w:t xml:space="preserve"> постановлен</w:t>
      </w:r>
      <w:r w:rsidR="00B169E2">
        <w:rPr>
          <w:rFonts w:ascii="Times New Roman" w:hAnsi="Times New Roman" w:cs="Times New Roman"/>
          <w:b w:val="0"/>
          <w:sz w:val="24"/>
          <w:szCs w:val="24"/>
        </w:rPr>
        <w:t>ию.</w:t>
      </w:r>
    </w:p>
    <w:p w:rsidR="0051134D" w:rsidRPr="0051134D" w:rsidRDefault="004F775A" w:rsidP="0051134D">
      <w:pPr>
        <w:pStyle w:val="ConsPlusTitle"/>
        <w:widowControl/>
        <w:numPr>
          <w:ilvl w:val="0"/>
          <w:numId w:val="4"/>
        </w:numPr>
        <w:tabs>
          <w:tab w:val="left" w:pos="1134"/>
        </w:tabs>
        <w:spacing w:line="240" w:lineRule="atLeast"/>
        <w:ind w:left="0"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34D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опубликова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ть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в Сборнике нормативных актов</w:t>
      </w:r>
      <w:r w:rsidR="0061044E" w:rsidRPr="0051134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Кривошеинского района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и разме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стить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в сети 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>Интернет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муниципального образования Кривошеинский район</w:t>
      </w:r>
      <w:r w:rsidR="00DB7CB2" w:rsidRPr="0051134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1134D" w:rsidRPr="0051134D" w:rsidRDefault="00BB5B2A" w:rsidP="0051134D">
      <w:pPr>
        <w:pStyle w:val="ConsPlusTitle"/>
        <w:widowControl/>
        <w:numPr>
          <w:ilvl w:val="0"/>
          <w:numId w:val="4"/>
        </w:numPr>
        <w:tabs>
          <w:tab w:val="left" w:pos="1134"/>
        </w:tabs>
        <w:spacing w:line="240" w:lineRule="atLeast"/>
        <w:ind w:left="0"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34D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 даты его подписания и распространяется на правоотношения, возникшие с 1</w:t>
      </w:r>
      <w:r w:rsidR="00832DF0">
        <w:rPr>
          <w:rFonts w:ascii="Times New Roman" w:hAnsi="Times New Roman" w:cs="Times New Roman"/>
          <w:b w:val="0"/>
          <w:sz w:val="24"/>
          <w:szCs w:val="24"/>
        </w:rPr>
        <w:t>1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2DF0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6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D85B12" w:rsidRPr="0051134D" w:rsidRDefault="00D85B12" w:rsidP="0051134D">
      <w:pPr>
        <w:pStyle w:val="ConsPlusTitle"/>
        <w:widowControl/>
        <w:numPr>
          <w:ilvl w:val="0"/>
          <w:numId w:val="4"/>
        </w:numPr>
        <w:tabs>
          <w:tab w:val="left" w:pos="1134"/>
        </w:tabs>
        <w:spacing w:line="240" w:lineRule="atLeast"/>
        <w:ind w:left="0" w:right="-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 xml:space="preserve">Первого 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 xml:space="preserve">заместителя Главы </w:t>
      </w:r>
      <w:r w:rsidR="00BA549E" w:rsidRPr="0051134D">
        <w:rPr>
          <w:rFonts w:ascii="Times New Roman" w:hAnsi="Times New Roman" w:cs="Times New Roman"/>
          <w:b w:val="0"/>
          <w:sz w:val="24"/>
          <w:szCs w:val="24"/>
        </w:rPr>
        <w:t>Кривошеинского района</w:t>
      </w:r>
      <w:r w:rsidRPr="0051134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85B12" w:rsidRDefault="00D85B12" w:rsidP="00846AF2">
      <w:pPr>
        <w:pStyle w:val="ConsPlusNormal"/>
        <w:widowControl/>
        <w:tabs>
          <w:tab w:val="left" w:pos="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044E" w:rsidRPr="00287E05" w:rsidRDefault="0061044E" w:rsidP="00D85B12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BC5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(Глава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sz w:val="24"/>
          <w:szCs w:val="24"/>
        </w:rPr>
        <w:t xml:space="preserve">Администрации) 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  </w:t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F0C07">
        <w:rPr>
          <w:rFonts w:ascii="Times New Roman" w:hAnsi="Times New Roman" w:cs="Times New Roman"/>
          <w:sz w:val="24"/>
          <w:szCs w:val="24"/>
        </w:rPr>
        <w:t>С.А. Тайлашев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Кустова М.Ф. 21974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750DA" w:rsidRDefault="000750DA" w:rsidP="00617C4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F4DBC" w:rsidRDefault="000750DA" w:rsidP="00617C4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Сальков Ю.Ю., </w:t>
      </w:r>
    </w:p>
    <w:p w:rsidR="004F4DBC" w:rsidRDefault="000750DA" w:rsidP="00617C4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ОУ-10, </w:t>
      </w:r>
    </w:p>
    <w:p w:rsidR="004F4DBC" w:rsidRDefault="0051134D" w:rsidP="00617C4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МКУ «ЦБ ОУ»</w:t>
      </w:r>
      <w:r w:rsidR="000750DA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4F4DBC" w:rsidRDefault="0051134D" w:rsidP="00617C4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МКУ «УО»</w:t>
      </w:r>
      <w:r w:rsidR="00D85B12" w:rsidRPr="00F250B4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4F4DBC" w:rsidRDefault="00D85B12" w:rsidP="00617C4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  <w:r w:rsidR="000750D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4DBC" w:rsidRDefault="00D85B12" w:rsidP="00617C4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  <w:r w:rsidR="000750D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50B4" w:rsidRDefault="0061044E" w:rsidP="00617C4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3311EC" w:rsidRDefault="0051134D" w:rsidP="0051134D">
      <w:pPr>
        <w:ind w:firstLine="0"/>
        <w:jc w:val="right"/>
        <w:rPr>
          <w:rFonts w:ascii="Times New Roman" w:hAnsi="Times New Roman" w:cs="Times New Roman"/>
        </w:rPr>
      </w:pPr>
      <w:r w:rsidRPr="0051134D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51134D" w:rsidRDefault="0051134D" w:rsidP="0051134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Кривошеинского района</w:t>
      </w:r>
    </w:p>
    <w:p w:rsidR="0051134D" w:rsidRDefault="0051134D" w:rsidP="0051134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058C6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.0</w:t>
      </w:r>
      <w:r w:rsidR="00CB67A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.2016 № </w:t>
      </w:r>
      <w:r w:rsidR="003058C6">
        <w:rPr>
          <w:rFonts w:ascii="Times New Roman" w:hAnsi="Times New Roman" w:cs="Times New Roman"/>
        </w:rPr>
        <w:t>128</w:t>
      </w:r>
    </w:p>
    <w:p w:rsidR="0051134D" w:rsidRDefault="0051134D" w:rsidP="0051134D">
      <w:pPr>
        <w:rPr>
          <w:rFonts w:ascii="Times New Roman" w:hAnsi="Times New Roman" w:cs="Times New Roman"/>
        </w:rPr>
      </w:pPr>
    </w:p>
    <w:p w:rsidR="00B169E2" w:rsidRPr="00B169E2" w:rsidRDefault="00B169E2" w:rsidP="00B169E2">
      <w:pPr>
        <w:pStyle w:val="21"/>
        <w:spacing w:line="240" w:lineRule="auto"/>
        <w:jc w:val="center"/>
      </w:pPr>
      <w:r w:rsidRPr="00B169E2">
        <w:t xml:space="preserve">Показатели основных результатов и эффективности функционирования муниципальных </w:t>
      </w:r>
      <w:r>
        <w:t>обще</w:t>
      </w:r>
      <w:r w:rsidRPr="00B169E2">
        <w:t>образовательных учреждений за предыдущий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8252"/>
        <w:gridCol w:w="1196"/>
      </w:tblGrid>
      <w:tr w:rsidR="00B169E2" w:rsidRPr="00B169E2" w:rsidTr="00847839">
        <w:tc>
          <w:tcPr>
            <w:tcW w:w="645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№ п/п</w:t>
            </w:r>
          </w:p>
        </w:tc>
        <w:tc>
          <w:tcPr>
            <w:tcW w:w="8252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Наименование показателя или индикатора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Весовое значение</w:t>
            </w:r>
          </w:p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(баллы)</w:t>
            </w:r>
          </w:p>
        </w:tc>
      </w:tr>
      <w:tr w:rsidR="00B169E2" w:rsidRPr="00B169E2" w:rsidTr="00847839">
        <w:trPr>
          <w:trHeight w:val="537"/>
        </w:trPr>
        <w:tc>
          <w:tcPr>
            <w:tcW w:w="10093" w:type="dxa"/>
            <w:gridSpan w:val="3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1 группа: показатели результатов образовательной деятельности</w:t>
            </w:r>
            <w:r>
              <w:t xml:space="preserve"> муниципальных общеобразовательных учреждений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1.</w:t>
            </w:r>
          </w:p>
        </w:tc>
        <w:tc>
          <w:tcPr>
            <w:tcW w:w="8252" w:type="dxa"/>
          </w:tcPr>
          <w:p w:rsidR="00B169E2" w:rsidRPr="00B169E2" w:rsidRDefault="00B169E2" w:rsidP="00B169E2">
            <w:pPr>
              <w:pStyle w:val="21"/>
              <w:spacing w:line="240" w:lineRule="auto"/>
              <w:jc w:val="both"/>
            </w:pPr>
            <w:r w:rsidRPr="00B169E2">
              <w:t xml:space="preserve">Результаты </w:t>
            </w:r>
            <w:r>
              <w:t>обучения (по результатам оценочных процедур качества образования)</w:t>
            </w:r>
            <w:r w:rsidRPr="00B169E2">
              <w:t>:</w:t>
            </w:r>
            <w:r>
              <w:t xml:space="preserve"> доля обучающихся, показавших в ходе проведения региональных мониторинговых исследований качества образования общеобразовательной подготовки, оценки сформированности метапредметных умений обучающихся результаты, превышающие средние значения по муницип</w:t>
            </w:r>
            <w:r w:rsidR="00A726F1">
              <w:t>ал</w:t>
            </w:r>
            <w:r>
              <w:t>ьному образованию</w:t>
            </w:r>
          </w:p>
        </w:tc>
        <w:tc>
          <w:tcPr>
            <w:tcW w:w="1196" w:type="dxa"/>
          </w:tcPr>
          <w:p w:rsidR="00B169E2" w:rsidRPr="00B169E2" w:rsidRDefault="00A726F1" w:rsidP="006256C0">
            <w:pPr>
              <w:pStyle w:val="21"/>
              <w:spacing w:line="240" w:lineRule="auto"/>
              <w:jc w:val="center"/>
            </w:pPr>
            <w:r>
              <w:t>8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2.</w:t>
            </w:r>
          </w:p>
        </w:tc>
        <w:tc>
          <w:tcPr>
            <w:tcW w:w="8252" w:type="dxa"/>
          </w:tcPr>
          <w:p w:rsidR="00B169E2" w:rsidRPr="00B169E2" w:rsidRDefault="00B169E2" w:rsidP="00A726F1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>Доля выпускников</w:t>
            </w:r>
            <w:r w:rsidR="00A726F1">
              <w:rPr>
                <w:rFonts w:ascii="Times New Roman" w:hAnsi="Times New Roman" w:cs="Times New Roman"/>
              </w:rPr>
              <w:t xml:space="preserve"> 11 классов</w:t>
            </w:r>
            <w:r w:rsidRPr="00B169E2">
              <w:rPr>
                <w:rFonts w:ascii="Times New Roman" w:hAnsi="Times New Roman" w:cs="Times New Roman"/>
              </w:rPr>
              <w:t>, получивших медали</w:t>
            </w:r>
            <w:r w:rsidR="00A726F1">
              <w:rPr>
                <w:rFonts w:ascii="Times New Roman" w:hAnsi="Times New Roman" w:cs="Times New Roman"/>
              </w:rPr>
              <w:t xml:space="preserve"> «За особые успехи в учении», «За особые достижения в учении»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8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3</w:t>
            </w:r>
            <w:r w:rsidR="00A726F1">
              <w:t>.</w:t>
            </w:r>
          </w:p>
        </w:tc>
        <w:tc>
          <w:tcPr>
            <w:tcW w:w="8252" w:type="dxa"/>
          </w:tcPr>
          <w:p w:rsidR="00B169E2" w:rsidRPr="00B169E2" w:rsidRDefault="00B169E2" w:rsidP="00A726F1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 xml:space="preserve">Доля обучающихся, </w:t>
            </w:r>
            <w:r w:rsidR="00A726F1">
              <w:rPr>
                <w:rFonts w:ascii="Times New Roman" w:hAnsi="Times New Roman" w:cs="Times New Roman"/>
              </w:rPr>
              <w:t>ставших</w:t>
            </w:r>
            <w:r w:rsidRPr="00B169E2">
              <w:rPr>
                <w:rFonts w:ascii="Times New Roman" w:hAnsi="Times New Roman" w:cs="Times New Roman"/>
              </w:rPr>
              <w:t xml:space="preserve"> победителями</w:t>
            </w:r>
            <w:r w:rsidR="00A726F1">
              <w:rPr>
                <w:rFonts w:ascii="Times New Roman" w:hAnsi="Times New Roman" w:cs="Times New Roman"/>
              </w:rPr>
              <w:t>,</w:t>
            </w:r>
            <w:r w:rsidRPr="00B169E2">
              <w:rPr>
                <w:rFonts w:ascii="Times New Roman" w:hAnsi="Times New Roman" w:cs="Times New Roman"/>
              </w:rPr>
              <w:t xml:space="preserve"> призерами</w:t>
            </w:r>
            <w:r w:rsidR="00A726F1">
              <w:rPr>
                <w:rFonts w:ascii="Times New Roman" w:hAnsi="Times New Roman" w:cs="Times New Roman"/>
              </w:rPr>
              <w:t>,</w:t>
            </w:r>
            <w:r w:rsidRPr="00B169E2">
              <w:rPr>
                <w:rFonts w:ascii="Times New Roman" w:hAnsi="Times New Roman" w:cs="Times New Roman"/>
              </w:rPr>
              <w:t xml:space="preserve"> лауреатами</w:t>
            </w:r>
            <w:r w:rsidR="00A726F1">
              <w:rPr>
                <w:rFonts w:ascii="Times New Roman" w:hAnsi="Times New Roman" w:cs="Times New Roman"/>
              </w:rPr>
              <w:t xml:space="preserve">, дипломатами международных, всероссийский и региональных очных олимпиад, </w:t>
            </w:r>
            <w:r w:rsidRPr="00B169E2">
              <w:rPr>
                <w:rFonts w:ascii="Times New Roman" w:hAnsi="Times New Roman" w:cs="Times New Roman"/>
              </w:rPr>
              <w:t xml:space="preserve">конкурсов, </w:t>
            </w:r>
            <w:r w:rsidR="00A726F1">
              <w:rPr>
                <w:rFonts w:ascii="Times New Roman" w:hAnsi="Times New Roman" w:cs="Times New Roman"/>
              </w:rPr>
              <w:t>выставок, конференций, соревнований, состязаний и иных мероприятий по одному (или нескольким) направ</w:t>
            </w:r>
            <w:r w:rsidR="003D242F">
              <w:rPr>
                <w:rFonts w:ascii="Times New Roman" w:hAnsi="Times New Roman" w:cs="Times New Roman"/>
              </w:rPr>
              <w:t xml:space="preserve">лениям научно-исследовательской </w:t>
            </w:r>
            <w:r w:rsidR="00A726F1">
              <w:rPr>
                <w:rFonts w:ascii="Times New Roman" w:hAnsi="Times New Roman" w:cs="Times New Roman"/>
              </w:rPr>
              <w:t>деятельности, научно-технического, художественного творчества, физической культуры и спорта за период обучения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7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A726F1" w:rsidP="00A726F1">
            <w:pPr>
              <w:pStyle w:val="21"/>
              <w:spacing w:line="240" w:lineRule="auto"/>
              <w:jc w:val="center"/>
            </w:pPr>
            <w:r>
              <w:t>4</w:t>
            </w:r>
            <w:r w:rsidR="00B169E2"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A726F1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>Доля детей, не посещающих или систематически пропускающих по неуважительным причинам занятия в муниципальных общеобразовательных учреждениях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7</w:t>
            </w:r>
          </w:p>
        </w:tc>
      </w:tr>
      <w:tr w:rsidR="00B169E2" w:rsidRPr="00B169E2" w:rsidTr="00847839">
        <w:tc>
          <w:tcPr>
            <w:tcW w:w="10093" w:type="dxa"/>
            <w:gridSpan w:val="3"/>
          </w:tcPr>
          <w:p w:rsidR="00B169E2" w:rsidRPr="00B169E2" w:rsidRDefault="00B169E2" w:rsidP="00A726F1">
            <w:pPr>
              <w:pStyle w:val="21"/>
              <w:spacing w:line="240" w:lineRule="auto"/>
              <w:jc w:val="center"/>
            </w:pPr>
            <w:r w:rsidRPr="00B169E2">
              <w:t xml:space="preserve">2 группа: показатели </w:t>
            </w:r>
            <w:r w:rsidR="00A726F1">
              <w:t>качества предоставления</w:t>
            </w:r>
            <w:r w:rsidRPr="00B169E2">
              <w:t xml:space="preserve"> образовательной </w:t>
            </w:r>
            <w:r w:rsidR="00A726F1">
              <w:t>услуги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A726F1" w:rsidP="006256C0">
            <w:pPr>
              <w:pStyle w:val="21"/>
              <w:spacing w:line="240" w:lineRule="auto"/>
              <w:jc w:val="center"/>
            </w:pPr>
            <w:r>
              <w:t>5</w:t>
            </w:r>
            <w:r w:rsidR="00B169E2"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6D7F8B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 xml:space="preserve">Доля </w:t>
            </w:r>
            <w:r w:rsidR="006D7F8B">
              <w:rPr>
                <w:rFonts w:ascii="Times New Roman" w:hAnsi="Times New Roman" w:cs="Times New Roman"/>
              </w:rPr>
              <w:t>детей с ограниченными возможностями здоровья, обучающихся по адаптированным основным общеобразовательным программам в условиях инклюзии</w:t>
            </w:r>
          </w:p>
        </w:tc>
        <w:tc>
          <w:tcPr>
            <w:tcW w:w="1196" w:type="dxa"/>
          </w:tcPr>
          <w:p w:rsidR="00B169E2" w:rsidRPr="001E21A5" w:rsidRDefault="00B169E2" w:rsidP="006256C0">
            <w:pPr>
              <w:pStyle w:val="21"/>
              <w:spacing w:line="240" w:lineRule="auto"/>
              <w:jc w:val="center"/>
            </w:pPr>
            <w:r w:rsidRPr="001E21A5">
              <w:t>2</w:t>
            </w:r>
          </w:p>
        </w:tc>
      </w:tr>
      <w:tr w:rsidR="006D7F8B" w:rsidRPr="00B169E2" w:rsidTr="00847839">
        <w:tc>
          <w:tcPr>
            <w:tcW w:w="645" w:type="dxa"/>
          </w:tcPr>
          <w:p w:rsidR="006D7F8B" w:rsidRDefault="006D7F8B" w:rsidP="006256C0">
            <w:pPr>
              <w:pStyle w:val="21"/>
              <w:spacing w:line="240" w:lineRule="auto"/>
              <w:jc w:val="center"/>
            </w:pPr>
            <w:r>
              <w:t>6.</w:t>
            </w:r>
          </w:p>
        </w:tc>
        <w:tc>
          <w:tcPr>
            <w:tcW w:w="8252" w:type="dxa"/>
          </w:tcPr>
          <w:p w:rsidR="006D7F8B" w:rsidRPr="006D7F8B" w:rsidRDefault="006D7F8B" w:rsidP="006D7F8B">
            <w:pPr>
              <w:ind w:firstLine="0"/>
              <w:rPr>
                <w:rFonts w:ascii="Times New Roman" w:hAnsi="Times New Roman" w:cs="Times New Roman"/>
              </w:rPr>
            </w:pPr>
            <w:r w:rsidRPr="006D7F8B">
              <w:rPr>
                <w:rFonts w:ascii="Times New Roman" w:hAnsi="Times New Roman" w:cs="Times New Roman"/>
              </w:rPr>
              <w:t xml:space="preserve">Доля старшеклассников, обучающихся в 10-11 классах по профильным программам, в том числе с использованием </w:t>
            </w:r>
            <w:r>
              <w:rPr>
                <w:rFonts w:ascii="Times New Roman" w:hAnsi="Times New Roman" w:cs="Times New Roman"/>
              </w:rPr>
              <w:t>дистанционных образовательных технологий</w:t>
            </w:r>
          </w:p>
        </w:tc>
        <w:tc>
          <w:tcPr>
            <w:tcW w:w="1196" w:type="dxa"/>
          </w:tcPr>
          <w:p w:rsidR="006D7F8B" w:rsidRPr="00B169E2" w:rsidRDefault="006D7F8B" w:rsidP="006256C0">
            <w:pPr>
              <w:pStyle w:val="21"/>
              <w:spacing w:line="240" w:lineRule="auto"/>
              <w:jc w:val="center"/>
            </w:pPr>
            <w:r>
              <w:t>2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6D7F8B" w:rsidP="006256C0">
            <w:pPr>
              <w:pStyle w:val="21"/>
              <w:spacing w:line="240" w:lineRule="auto"/>
              <w:jc w:val="center"/>
            </w:pPr>
            <w:r>
              <w:t>7</w:t>
            </w:r>
            <w:r w:rsidR="00B169E2"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3D242F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 xml:space="preserve">Доля </w:t>
            </w:r>
            <w:r w:rsidR="006D7F8B">
              <w:rPr>
                <w:rFonts w:ascii="Times New Roman" w:hAnsi="Times New Roman" w:cs="Times New Roman"/>
              </w:rPr>
              <w:t>обучающихся</w:t>
            </w:r>
            <w:r w:rsidRPr="00B169E2">
              <w:rPr>
                <w:rFonts w:ascii="Times New Roman" w:hAnsi="Times New Roman" w:cs="Times New Roman"/>
              </w:rPr>
              <w:t>, охваченных  дополнительн</w:t>
            </w:r>
            <w:r w:rsidR="006D7F8B">
              <w:rPr>
                <w:rFonts w:ascii="Times New Roman" w:hAnsi="Times New Roman" w:cs="Times New Roman"/>
              </w:rPr>
              <w:t xml:space="preserve">ыми общеобразовательными программами в </w:t>
            </w:r>
            <w:r w:rsidR="003D242F">
              <w:rPr>
                <w:rFonts w:ascii="Times New Roman" w:hAnsi="Times New Roman" w:cs="Times New Roman"/>
              </w:rPr>
              <w:t xml:space="preserve">муниципальных </w:t>
            </w:r>
            <w:r w:rsidR="006D7F8B">
              <w:rPr>
                <w:rFonts w:ascii="Times New Roman" w:hAnsi="Times New Roman" w:cs="Times New Roman"/>
              </w:rPr>
              <w:t>общеобразовательных учреждениях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3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6D7F8B" w:rsidP="006256C0">
            <w:pPr>
              <w:pStyle w:val="21"/>
              <w:spacing w:line="240" w:lineRule="auto"/>
              <w:jc w:val="center"/>
            </w:pPr>
            <w:r>
              <w:t>8</w:t>
            </w:r>
            <w:r w:rsidR="00B169E2"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6D7F8B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>Доля обучающихся, охваченных горячим питанием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3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6D7F8B" w:rsidP="006256C0">
            <w:pPr>
              <w:pStyle w:val="21"/>
              <w:spacing w:line="240" w:lineRule="auto"/>
              <w:jc w:val="center"/>
            </w:pPr>
            <w:r>
              <w:t>9</w:t>
            </w:r>
            <w:r w:rsidR="00B169E2"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6D7F8B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 xml:space="preserve">Количество обучающихся, состоящих на учете в комиссии по делам несовершеннолетних и защите их прав, в сравнении с предыдущим </w:t>
            </w:r>
            <w:r w:rsidR="006D7F8B">
              <w:rPr>
                <w:rFonts w:ascii="Times New Roman" w:hAnsi="Times New Roman" w:cs="Times New Roman"/>
              </w:rPr>
              <w:t>периодом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3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6D7F8B" w:rsidP="00A726F1">
            <w:pPr>
              <w:pStyle w:val="21"/>
              <w:spacing w:line="240" w:lineRule="auto"/>
              <w:jc w:val="center"/>
            </w:pPr>
            <w:r>
              <w:t>10</w:t>
            </w:r>
            <w:r w:rsidR="00B169E2"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6D7F8B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 xml:space="preserve">Количество преступлений и административных правонарушений, совершенных обучающимися </w:t>
            </w:r>
            <w:r w:rsidR="006D7F8B">
              <w:rPr>
                <w:rFonts w:ascii="Times New Roman" w:hAnsi="Times New Roman" w:cs="Times New Roman"/>
              </w:rPr>
              <w:t xml:space="preserve">муниципального общеобразовательного учреждения, </w:t>
            </w:r>
            <w:r w:rsidRPr="00B169E2">
              <w:rPr>
                <w:rFonts w:ascii="Times New Roman" w:hAnsi="Times New Roman" w:cs="Times New Roman"/>
              </w:rPr>
              <w:t xml:space="preserve">в сравнении с предыдущим </w:t>
            </w:r>
            <w:r w:rsidR="006D7F8B">
              <w:rPr>
                <w:rFonts w:ascii="Times New Roman" w:hAnsi="Times New Roman" w:cs="Times New Roman"/>
              </w:rPr>
              <w:t>периодом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3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A726F1" w:rsidP="006D7F8B">
            <w:pPr>
              <w:pStyle w:val="21"/>
              <w:spacing w:line="240" w:lineRule="auto"/>
              <w:jc w:val="center"/>
            </w:pPr>
            <w:r>
              <w:t>1</w:t>
            </w:r>
            <w:r w:rsidR="006D7F8B">
              <w:t>1</w:t>
            </w:r>
            <w:r w:rsidR="00B169E2"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6D7F8B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 xml:space="preserve">Доля фонда оплаты труда педагогических работников в общем фонде оплаты труда </w:t>
            </w:r>
            <w:r w:rsidR="006D7F8B">
              <w:rPr>
                <w:rFonts w:ascii="Times New Roman" w:hAnsi="Times New Roman" w:cs="Times New Roman"/>
              </w:rPr>
              <w:t xml:space="preserve">муниципального общеобразовательного </w:t>
            </w:r>
            <w:r w:rsidRPr="00B169E2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3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B169E2" w:rsidP="006D7F8B">
            <w:pPr>
              <w:pStyle w:val="21"/>
              <w:spacing w:line="240" w:lineRule="auto"/>
              <w:jc w:val="center"/>
            </w:pPr>
            <w:r w:rsidRPr="00B169E2">
              <w:t>1</w:t>
            </w:r>
            <w:r w:rsidR="006D7F8B">
              <w:t>2</w:t>
            </w:r>
            <w:r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6D7F8B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>Доля педагогических работников в возрасте до 35 лет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3</w:t>
            </w:r>
          </w:p>
        </w:tc>
      </w:tr>
      <w:tr w:rsidR="00B169E2" w:rsidRPr="00B169E2" w:rsidTr="00847839">
        <w:tc>
          <w:tcPr>
            <w:tcW w:w="10093" w:type="dxa"/>
            <w:gridSpan w:val="3"/>
          </w:tcPr>
          <w:p w:rsidR="00B169E2" w:rsidRPr="00B169E2" w:rsidRDefault="00B169E2" w:rsidP="00156EDD">
            <w:pPr>
              <w:pStyle w:val="21"/>
              <w:spacing w:line="240" w:lineRule="auto"/>
              <w:jc w:val="center"/>
            </w:pPr>
            <w:r w:rsidRPr="00B169E2">
              <w:lastRenderedPageBreak/>
              <w:t xml:space="preserve">3 группа: дополнительные показатели, применяемые на </w:t>
            </w:r>
            <w:r w:rsidR="00156EDD">
              <w:t>местном</w:t>
            </w:r>
            <w:r w:rsidRPr="00B169E2">
              <w:t xml:space="preserve"> уровне: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B169E2" w:rsidP="00156EDD">
            <w:pPr>
              <w:pStyle w:val="21"/>
              <w:spacing w:line="240" w:lineRule="auto"/>
              <w:jc w:val="center"/>
            </w:pPr>
            <w:r w:rsidRPr="00B169E2">
              <w:t>1</w:t>
            </w:r>
            <w:r w:rsidR="00156EDD">
              <w:t>3</w:t>
            </w:r>
            <w:r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6D7F8B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>Доля педаго</w:t>
            </w:r>
            <w:r w:rsidR="006D7F8B">
              <w:rPr>
                <w:rFonts w:ascii="Times New Roman" w:hAnsi="Times New Roman" w:cs="Times New Roman"/>
              </w:rPr>
              <w:t>гических работников</w:t>
            </w:r>
            <w:r w:rsidRPr="00B169E2">
              <w:rPr>
                <w:rFonts w:ascii="Times New Roman" w:hAnsi="Times New Roman" w:cs="Times New Roman"/>
              </w:rPr>
              <w:t>, имеющих первую и высшую квалификационн</w:t>
            </w:r>
            <w:r w:rsidR="006D7F8B">
              <w:rPr>
                <w:rFonts w:ascii="Times New Roman" w:hAnsi="Times New Roman" w:cs="Times New Roman"/>
              </w:rPr>
              <w:t>ую</w:t>
            </w:r>
            <w:r w:rsidRPr="00B169E2">
              <w:rPr>
                <w:rFonts w:ascii="Times New Roman" w:hAnsi="Times New Roman" w:cs="Times New Roman"/>
              </w:rPr>
              <w:t xml:space="preserve"> категори</w:t>
            </w:r>
            <w:r w:rsidR="006D7F8B">
              <w:rPr>
                <w:rFonts w:ascii="Times New Roman" w:hAnsi="Times New Roman" w:cs="Times New Roman"/>
              </w:rPr>
              <w:t>ю</w:t>
            </w:r>
            <w:r w:rsidRPr="00B169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4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B169E2" w:rsidP="00156EDD">
            <w:pPr>
              <w:pStyle w:val="21"/>
              <w:spacing w:line="240" w:lineRule="auto"/>
              <w:jc w:val="center"/>
            </w:pPr>
            <w:r w:rsidRPr="00B169E2">
              <w:t>1</w:t>
            </w:r>
            <w:r w:rsidR="00156EDD">
              <w:t>4</w:t>
            </w:r>
            <w:r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6D7F8B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>Получение грантов и других форм финансовой поддержки за внедрение инновационных образовательных программ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7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B169E2" w:rsidP="00156EDD">
            <w:pPr>
              <w:pStyle w:val="21"/>
              <w:spacing w:line="240" w:lineRule="auto"/>
              <w:jc w:val="center"/>
            </w:pPr>
            <w:r w:rsidRPr="00B169E2">
              <w:t>1</w:t>
            </w:r>
            <w:r w:rsidR="00156EDD">
              <w:t>5</w:t>
            </w:r>
            <w:r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3D242F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>Удельный вес детей первой и второй групп здоровья в</w:t>
            </w:r>
            <w:r w:rsidR="003D242F">
              <w:rPr>
                <w:rFonts w:ascii="Times New Roman" w:hAnsi="Times New Roman" w:cs="Times New Roman"/>
              </w:rPr>
              <w:t xml:space="preserve"> общей численности обучающихся </w:t>
            </w:r>
            <w:r w:rsidR="00156EDD">
              <w:rPr>
                <w:rFonts w:ascii="Times New Roman" w:hAnsi="Times New Roman" w:cs="Times New Roman"/>
              </w:rPr>
              <w:t>муниципально</w:t>
            </w:r>
            <w:r w:rsidR="003D242F">
              <w:rPr>
                <w:rFonts w:ascii="Times New Roman" w:hAnsi="Times New Roman" w:cs="Times New Roman"/>
              </w:rPr>
              <w:t>го</w:t>
            </w:r>
            <w:r w:rsidR="00156EDD">
              <w:rPr>
                <w:rFonts w:ascii="Times New Roman" w:hAnsi="Times New Roman" w:cs="Times New Roman"/>
              </w:rPr>
              <w:t xml:space="preserve"> общеобразовательно</w:t>
            </w:r>
            <w:r w:rsidR="003D242F">
              <w:rPr>
                <w:rFonts w:ascii="Times New Roman" w:hAnsi="Times New Roman" w:cs="Times New Roman"/>
              </w:rPr>
              <w:t>го</w:t>
            </w:r>
            <w:r w:rsidR="00156EDD">
              <w:rPr>
                <w:rFonts w:ascii="Times New Roman" w:hAnsi="Times New Roman" w:cs="Times New Roman"/>
              </w:rPr>
              <w:t xml:space="preserve"> </w:t>
            </w:r>
            <w:r w:rsidRPr="00B169E2">
              <w:rPr>
                <w:rFonts w:ascii="Times New Roman" w:hAnsi="Times New Roman" w:cs="Times New Roman"/>
              </w:rPr>
              <w:t>учреждени</w:t>
            </w:r>
            <w:r w:rsidR="003D242F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3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156EDD" w:rsidP="006256C0">
            <w:pPr>
              <w:pStyle w:val="21"/>
              <w:spacing w:line="240" w:lineRule="auto"/>
              <w:jc w:val="center"/>
            </w:pPr>
            <w:r>
              <w:t>16</w:t>
            </w:r>
            <w:r w:rsidR="00B169E2"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6D7F8B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>Доля выпускников 9-х классов, получивших аттестаты с отличием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4</w:t>
            </w:r>
          </w:p>
        </w:tc>
      </w:tr>
      <w:tr w:rsidR="00B169E2" w:rsidRPr="00B169E2" w:rsidTr="00847839">
        <w:tc>
          <w:tcPr>
            <w:tcW w:w="645" w:type="dxa"/>
          </w:tcPr>
          <w:p w:rsidR="00B169E2" w:rsidRPr="00B169E2" w:rsidRDefault="00B169E2" w:rsidP="00156EDD">
            <w:pPr>
              <w:pStyle w:val="21"/>
              <w:spacing w:line="240" w:lineRule="auto"/>
              <w:jc w:val="center"/>
            </w:pPr>
            <w:r w:rsidRPr="00B169E2">
              <w:t>1</w:t>
            </w:r>
            <w:r w:rsidR="00156EDD">
              <w:t>7</w:t>
            </w:r>
            <w:r w:rsidRPr="00B169E2">
              <w:t>.</w:t>
            </w:r>
          </w:p>
        </w:tc>
        <w:tc>
          <w:tcPr>
            <w:tcW w:w="8252" w:type="dxa"/>
          </w:tcPr>
          <w:p w:rsidR="00B169E2" w:rsidRPr="00B169E2" w:rsidRDefault="00B169E2" w:rsidP="006D7F8B">
            <w:pPr>
              <w:ind w:firstLine="0"/>
              <w:rPr>
                <w:rFonts w:ascii="Times New Roman" w:hAnsi="Times New Roman" w:cs="Times New Roman"/>
              </w:rPr>
            </w:pPr>
            <w:r w:rsidRPr="00B169E2">
              <w:rPr>
                <w:rFonts w:ascii="Times New Roman" w:hAnsi="Times New Roman" w:cs="Times New Roman"/>
              </w:rPr>
              <w:t>Доля выпускников 9-х классов, продолживших получение общего образования</w:t>
            </w:r>
          </w:p>
        </w:tc>
        <w:tc>
          <w:tcPr>
            <w:tcW w:w="1196" w:type="dxa"/>
          </w:tcPr>
          <w:p w:rsidR="00B169E2" w:rsidRPr="00B169E2" w:rsidRDefault="00B169E2" w:rsidP="006256C0">
            <w:pPr>
              <w:pStyle w:val="21"/>
              <w:spacing w:line="240" w:lineRule="auto"/>
              <w:jc w:val="center"/>
            </w:pPr>
            <w:r w:rsidRPr="00B169E2">
              <w:t>2</w:t>
            </w:r>
          </w:p>
        </w:tc>
      </w:tr>
    </w:tbl>
    <w:p w:rsidR="0093558C" w:rsidRPr="00B169E2" w:rsidRDefault="0093558C" w:rsidP="004757F3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</w:rPr>
      </w:pPr>
    </w:p>
    <w:p w:rsidR="004F4DBC" w:rsidRPr="00B169E2" w:rsidRDefault="004F4DBC" w:rsidP="004F4DBC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Оценка деятельности муниципального общеобразовательного учреждения наход</w:t>
      </w:r>
      <w:r w:rsidR="003058C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тся в обратной зависимости от значений показателей 4,9,10, чем ниже значение показателя, тем большее количество баллов получает муниципальное общеобразовательное учреждение.</w:t>
      </w:r>
    </w:p>
    <w:sectPr w:rsidR="004F4DBC" w:rsidRPr="00B169E2" w:rsidSect="009C07BD">
      <w:pgSz w:w="11900" w:h="16800"/>
      <w:pgMar w:top="1276" w:right="800" w:bottom="1135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B4A"/>
    <w:multiLevelType w:val="multilevel"/>
    <w:tmpl w:val="4A8675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9CC3511"/>
    <w:multiLevelType w:val="multilevel"/>
    <w:tmpl w:val="1902B3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4D5F77FF"/>
    <w:multiLevelType w:val="multilevel"/>
    <w:tmpl w:val="5246E168"/>
    <w:lvl w:ilvl="0">
      <w:start w:val="1"/>
      <w:numFmt w:val="decimal"/>
      <w:lvlText w:val="%1."/>
      <w:lvlJc w:val="left"/>
      <w:pPr>
        <w:ind w:left="4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50" w:hanging="1800"/>
      </w:pPr>
      <w:rPr>
        <w:rFonts w:cs="Times New Roman" w:hint="default"/>
      </w:rPr>
    </w:lvl>
  </w:abstractNum>
  <w:abstractNum w:abstractNumId="3">
    <w:nsid w:val="70873BDC"/>
    <w:multiLevelType w:val="hybridMultilevel"/>
    <w:tmpl w:val="F8A8FF60"/>
    <w:lvl w:ilvl="0" w:tplc="54022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49D079D"/>
    <w:multiLevelType w:val="multilevel"/>
    <w:tmpl w:val="5246E168"/>
    <w:lvl w:ilvl="0">
      <w:start w:val="1"/>
      <w:numFmt w:val="decimal"/>
      <w:lvlText w:val="%1."/>
      <w:lvlJc w:val="left"/>
      <w:pPr>
        <w:ind w:left="4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50" w:hanging="1800"/>
      </w:pPr>
      <w:rPr>
        <w:rFonts w:cs="Times New Roman" w:hint="default"/>
      </w:rPr>
    </w:lvl>
  </w:abstractNum>
  <w:abstractNum w:abstractNumId="5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5B12"/>
    <w:rsid w:val="00015C89"/>
    <w:rsid w:val="000260F6"/>
    <w:rsid w:val="000372BB"/>
    <w:rsid w:val="000750DA"/>
    <w:rsid w:val="00086CD8"/>
    <w:rsid w:val="000A3A6D"/>
    <w:rsid w:val="000C2F23"/>
    <w:rsid w:val="000D024B"/>
    <w:rsid w:val="000E1FB3"/>
    <w:rsid w:val="000E34F4"/>
    <w:rsid w:val="000E4AB7"/>
    <w:rsid w:val="000E5DFE"/>
    <w:rsid w:val="000F6903"/>
    <w:rsid w:val="00110909"/>
    <w:rsid w:val="00113E64"/>
    <w:rsid w:val="00130D96"/>
    <w:rsid w:val="00156D1D"/>
    <w:rsid w:val="00156EDD"/>
    <w:rsid w:val="001572FA"/>
    <w:rsid w:val="00166A72"/>
    <w:rsid w:val="001739DF"/>
    <w:rsid w:val="00186B54"/>
    <w:rsid w:val="00196176"/>
    <w:rsid w:val="00196673"/>
    <w:rsid w:val="001C54FA"/>
    <w:rsid w:val="001D3215"/>
    <w:rsid w:val="001D6EBB"/>
    <w:rsid w:val="001E21A5"/>
    <w:rsid w:val="001E424E"/>
    <w:rsid w:val="00221153"/>
    <w:rsid w:val="00223174"/>
    <w:rsid w:val="0024379C"/>
    <w:rsid w:val="00244677"/>
    <w:rsid w:val="00273FF5"/>
    <w:rsid w:val="00275BC7"/>
    <w:rsid w:val="00287E05"/>
    <w:rsid w:val="002D177F"/>
    <w:rsid w:val="002D1C0B"/>
    <w:rsid w:val="002D3E32"/>
    <w:rsid w:val="00300B2B"/>
    <w:rsid w:val="003058C6"/>
    <w:rsid w:val="00307110"/>
    <w:rsid w:val="00312171"/>
    <w:rsid w:val="00324F62"/>
    <w:rsid w:val="003311EC"/>
    <w:rsid w:val="003339E4"/>
    <w:rsid w:val="00334B00"/>
    <w:rsid w:val="003533EB"/>
    <w:rsid w:val="00364B30"/>
    <w:rsid w:val="00365456"/>
    <w:rsid w:val="00366992"/>
    <w:rsid w:val="00371593"/>
    <w:rsid w:val="00381BB6"/>
    <w:rsid w:val="003A2B42"/>
    <w:rsid w:val="003A7CA3"/>
    <w:rsid w:val="003C4C34"/>
    <w:rsid w:val="003D17A7"/>
    <w:rsid w:val="003D242F"/>
    <w:rsid w:val="003F484A"/>
    <w:rsid w:val="004472C2"/>
    <w:rsid w:val="00471A2F"/>
    <w:rsid w:val="004757F3"/>
    <w:rsid w:val="00476C12"/>
    <w:rsid w:val="00480B46"/>
    <w:rsid w:val="00481EB1"/>
    <w:rsid w:val="004A571A"/>
    <w:rsid w:val="004C057C"/>
    <w:rsid w:val="004D3582"/>
    <w:rsid w:val="004D38C8"/>
    <w:rsid w:val="004E7917"/>
    <w:rsid w:val="004F4DBC"/>
    <w:rsid w:val="004F6BA5"/>
    <w:rsid w:val="004F775A"/>
    <w:rsid w:val="0051134D"/>
    <w:rsid w:val="00524CD7"/>
    <w:rsid w:val="005577A1"/>
    <w:rsid w:val="005869A8"/>
    <w:rsid w:val="00590929"/>
    <w:rsid w:val="005968B1"/>
    <w:rsid w:val="005C5B84"/>
    <w:rsid w:val="005E4561"/>
    <w:rsid w:val="005F7EF6"/>
    <w:rsid w:val="0061044E"/>
    <w:rsid w:val="00617C40"/>
    <w:rsid w:val="00621D4A"/>
    <w:rsid w:val="0062359E"/>
    <w:rsid w:val="006256C0"/>
    <w:rsid w:val="0063525F"/>
    <w:rsid w:val="00636EAC"/>
    <w:rsid w:val="0065099F"/>
    <w:rsid w:val="00657D69"/>
    <w:rsid w:val="00677601"/>
    <w:rsid w:val="0069318B"/>
    <w:rsid w:val="00694123"/>
    <w:rsid w:val="006C237F"/>
    <w:rsid w:val="006D4C69"/>
    <w:rsid w:val="006D7F8B"/>
    <w:rsid w:val="006E125C"/>
    <w:rsid w:val="0070033D"/>
    <w:rsid w:val="0070478C"/>
    <w:rsid w:val="007053F2"/>
    <w:rsid w:val="007061B6"/>
    <w:rsid w:val="00725385"/>
    <w:rsid w:val="007344CF"/>
    <w:rsid w:val="00740933"/>
    <w:rsid w:val="00745D84"/>
    <w:rsid w:val="007472C9"/>
    <w:rsid w:val="00747C9F"/>
    <w:rsid w:val="0075200F"/>
    <w:rsid w:val="00755975"/>
    <w:rsid w:val="0079058D"/>
    <w:rsid w:val="007A05BA"/>
    <w:rsid w:val="007C7C35"/>
    <w:rsid w:val="007F04F7"/>
    <w:rsid w:val="007F263A"/>
    <w:rsid w:val="00803F49"/>
    <w:rsid w:val="00817AA2"/>
    <w:rsid w:val="0083063A"/>
    <w:rsid w:val="00832DF0"/>
    <w:rsid w:val="008440BB"/>
    <w:rsid w:val="00846AF2"/>
    <w:rsid w:val="00847839"/>
    <w:rsid w:val="008F077A"/>
    <w:rsid w:val="008F24B6"/>
    <w:rsid w:val="008F2604"/>
    <w:rsid w:val="009124F9"/>
    <w:rsid w:val="0093558C"/>
    <w:rsid w:val="00951BC5"/>
    <w:rsid w:val="0096066E"/>
    <w:rsid w:val="00974E13"/>
    <w:rsid w:val="00983296"/>
    <w:rsid w:val="009852A6"/>
    <w:rsid w:val="009A7BC0"/>
    <w:rsid w:val="009C07BD"/>
    <w:rsid w:val="009E3199"/>
    <w:rsid w:val="00A017A8"/>
    <w:rsid w:val="00A146B8"/>
    <w:rsid w:val="00A21EC9"/>
    <w:rsid w:val="00A24E0C"/>
    <w:rsid w:val="00A26B12"/>
    <w:rsid w:val="00A33757"/>
    <w:rsid w:val="00A35EE8"/>
    <w:rsid w:val="00A56544"/>
    <w:rsid w:val="00A640BD"/>
    <w:rsid w:val="00A65F38"/>
    <w:rsid w:val="00A72366"/>
    <w:rsid w:val="00A726F1"/>
    <w:rsid w:val="00A7744A"/>
    <w:rsid w:val="00A9478D"/>
    <w:rsid w:val="00A972E4"/>
    <w:rsid w:val="00AA34D5"/>
    <w:rsid w:val="00AA7FCF"/>
    <w:rsid w:val="00AC34A6"/>
    <w:rsid w:val="00AD7FC2"/>
    <w:rsid w:val="00AE3984"/>
    <w:rsid w:val="00AF0C07"/>
    <w:rsid w:val="00B144B0"/>
    <w:rsid w:val="00B14C17"/>
    <w:rsid w:val="00B169E2"/>
    <w:rsid w:val="00B20C40"/>
    <w:rsid w:val="00B35753"/>
    <w:rsid w:val="00B65421"/>
    <w:rsid w:val="00B93649"/>
    <w:rsid w:val="00B949E8"/>
    <w:rsid w:val="00B953DB"/>
    <w:rsid w:val="00BA4AE9"/>
    <w:rsid w:val="00BA549E"/>
    <w:rsid w:val="00BA5788"/>
    <w:rsid w:val="00BB5B2A"/>
    <w:rsid w:val="00BD4129"/>
    <w:rsid w:val="00BD53AC"/>
    <w:rsid w:val="00BE7B91"/>
    <w:rsid w:val="00C20890"/>
    <w:rsid w:val="00C8170A"/>
    <w:rsid w:val="00C83E61"/>
    <w:rsid w:val="00C95FF1"/>
    <w:rsid w:val="00CA5751"/>
    <w:rsid w:val="00CB67A8"/>
    <w:rsid w:val="00CE0CB0"/>
    <w:rsid w:val="00CE4164"/>
    <w:rsid w:val="00CE4FBC"/>
    <w:rsid w:val="00CF217D"/>
    <w:rsid w:val="00CF6300"/>
    <w:rsid w:val="00D06BEE"/>
    <w:rsid w:val="00D0712A"/>
    <w:rsid w:val="00D100FA"/>
    <w:rsid w:val="00D32A9B"/>
    <w:rsid w:val="00D43EA1"/>
    <w:rsid w:val="00D45BB9"/>
    <w:rsid w:val="00D50A93"/>
    <w:rsid w:val="00D55A90"/>
    <w:rsid w:val="00D85B12"/>
    <w:rsid w:val="00DA3306"/>
    <w:rsid w:val="00DA3F10"/>
    <w:rsid w:val="00DB6E0F"/>
    <w:rsid w:val="00DB7CB2"/>
    <w:rsid w:val="00E334D3"/>
    <w:rsid w:val="00E51C1D"/>
    <w:rsid w:val="00E6005E"/>
    <w:rsid w:val="00EA521B"/>
    <w:rsid w:val="00EC6A32"/>
    <w:rsid w:val="00ED04E6"/>
    <w:rsid w:val="00F250B4"/>
    <w:rsid w:val="00F2789D"/>
    <w:rsid w:val="00F6195E"/>
    <w:rsid w:val="00F62E12"/>
    <w:rsid w:val="00FB52DE"/>
    <w:rsid w:val="00FD550A"/>
    <w:rsid w:val="00FD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1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85B12"/>
    <w:rPr>
      <w:rFonts w:asciiTheme="majorHAnsi" w:eastAsiaTheme="majorEastAsia" w:hAnsiTheme="majorHAnsi" w:cs="Times New Roma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Body Text Indent"/>
    <w:basedOn w:val="a"/>
    <w:link w:val="affff"/>
    <w:uiPriority w:val="99"/>
    <w:rsid w:val="00D85B12"/>
    <w:pPr>
      <w:widowControl/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ffff">
    <w:name w:val="Основной текст с отступом Знак"/>
    <w:basedOn w:val="a0"/>
    <w:link w:val="afffe"/>
    <w:uiPriority w:val="99"/>
    <w:locked/>
    <w:rsid w:val="00D85B1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8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5B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unhideWhenUsed/>
    <w:rsid w:val="00A7236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A72366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24E0C"/>
    <w:pPr>
      <w:ind w:left="708"/>
    </w:pPr>
  </w:style>
  <w:style w:type="paragraph" w:styleId="21">
    <w:name w:val="Body Text 2"/>
    <w:basedOn w:val="a"/>
    <w:link w:val="22"/>
    <w:uiPriority w:val="99"/>
    <w:rsid w:val="00B169E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locked/>
    <w:rsid w:val="00B169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103A-827D-4256-AB1C-972CDFAC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Company>НПП "Гарант-Сервис"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cp:lastPrinted>2016-04-14T09:28:00Z</cp:lastPrinted>
  <dcterms:created xsi:type="dcterms:W3CDTF">2024-11-05T08:10:00Z</dcterms:created>
  <dcterms:modified xsi:type="dcterms:W3CDTF">2024-11-05T08:10:00Z</dcterms:modified>
</cp:coreProperties>
</file>