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C94E07" w:rsidRDefault="00B46497" w:rsidP="00B46497">
      <w:pPr>
        <w:pStyle w:val="ConsPlusTitle"/>
        <w:widowControl/>
        <w:rPr>
          <w:b w:val="0"/>
        </w:rPr>
      </w:pPr>
      <w:r>
        <w:rPr>
          <w:b w:val="0"/>
        </w:rPr>
        <w:t>25.03.2024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№ 74-р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 на оплату расходов по мероприятию - 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поселения.</w:t>
      </w:r>
    </w:p>
    <w:p w:rsidR="004F3689" w:rsidRPr="00C94E07" w:rsidRDefault="004F3689" w:rsidP="004F368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7009003425</w:t>
      </w:r>
      <w:r w:rsidRPr="00C94E07">
        <w:t xml:space="preserve">. ОГРН обьекта контроля - </w:t>
      </w:r>
      <w:r w:rsidRPr="00C94E07">
        <w:rPr>
          <w:shd w:val="clear" w:color="auto" w:fill="F1F2F3"/>
        </w:rPr>
        <w:t>1057007441226</w:t>
      </w:r>
      <w:r w:rsidRPr="00C94E07">
        <w:t>. Адрес местонахождения объекта контроля: 636310, Томская область, Кривошеинский район, с. Володино, ул. Советская, 31.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>на оплату расходов по мероприятию - 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B46497" w:rsidRDefault="00B46497" w:rsidP="00B46497">
      <w:pPr>
        <w:pStyle w:val="ConsPlusTitle"/>
        <w:widowControl/>
        <w:rPr>
          <w:b w:val="0"/>
        </w:rPr>
      </w:pPr>
      <w:r>
        <w:rPr>
          <w:b w:val="0"/>
        </w:rPr>
        <w:t>И.о. Главы Кривошеинского района                                                                                    А.М. Архипов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6E697F">
      <w:pPr>
        <w:rPr>
          <w:sz w:val="20"/>
          <w:szCs w:val="20"/>
        </w:rPr>
      </w:pPr>
      <w:r>
        <w:rPr>
          <w:sz w:val="20"/>
          <w:szCs w:val="20"/>
        </w:rPr>
        <w:t>Володинское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AB" w:rsidRDefault="00DE1BAB" w:rsidP="005A26CE">
      <w:r>
        <w:separator/>
      </w:r>
    </w:p>
  </w:endnote>
  <w:endnote w:type="continuationSeparator" w:id="1">
    <w:p w:rsidR="00DE1BAB" w:rsidRDefault="00DE1BAB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AB" w:rsidRDefault="00DE1BAB" w:rsidP="005A26CE">
      <w:r>
        <w:separator/>
      </w:r>
    </w:p>
  </w:footnote>
  <w:footnote w:type="continuationSeparator" w:id="1">
    <w:p w:rsidR="00DE1BAB" w:rsidRDefault="00DE1BAB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9A194F">
        <w:pPr>
          <w:pStyle w:val="a4"/>
          <w:jc w:val="center"/>
        </w:pPr>
        <w:fldSimple w:instr=" PAGE   \* MERGEFORMAT ">
          <w:r w:rsidR="006E697F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E1BEC"/>
    <w:rsid w:val="002E3416"/>
    <w:rsid w:val="002E6EDE"/>
    <w:rsid w:val="0033295A"/>
    <w:rsid w:val="00333862"/>
    <w:rsid w:val="00334CE1"/>
    <w:rsid w:val="00347B41"/>
    <w:rsid w:val="00352745"/>
    <w:rsid w:val="003539F5"/>
    <w:rsid w:val="0036530F"/>
    <w:rsid w:val="00372EE9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C7EB7"/>
    <w:rsid w:val="00CE494F"/>
    <w:rsid w:val="00CE69AB"/>
    <w:rsid w:val="00CF3001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4294953477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120</cp:revision>
  <cp:lastPrinted>2024-01-26T07:20:00Z</cp:lastPrinted>
  <dcterms:created xsi:type="dcterms:W3CDTF">2016-10-05T04:18:00Z</dcterms:created>
  <dcterms:modified xsi:type="dcterms:W3CDTF">2024-03-28T08:30:00Z</dcterms:modified>
</cp:coreProperties>
</file>